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DBAB" w14:textId="77777777" w:rsidR="00A83D9B" w:rsidRDefault="00A83D9B" w:rsidP="00A83D9B">
      <w:pPr>
        <w:spacing w:before="62"/>
        <w:rPr>
          <w:color w:val="766F6F"/>
          <w:spacing w:val="11"/>
          <w:sz w:val="24"/>
        </w:rPr>
      </w:pPr>
    </w:p>
    <w:p w14:paraId="33B022E3" w14:textId="77777777" w:rsidR="00A46463" w:rsidRDefault="00A46463" w:rsidP="00A46463">
      <w:pPr>
        <w:pStyle w:val="Textoindependiente"/>
        <w:rPr>
          <w:sz w:val="20"/>
        </w:rPr>
      </w:pPr>
      <w:r>
        <w:rPr>
          <w:noProof/>
          <w:lang w:val="es-DO" w:eastAsia="es-DO"/>
        </w:rPr>
        <w:drawing>
          <wp:anchor distT="0" distB="0" distL="0" distR="0" simplePos="0" relativeHeight="251663360" behindDoc="1" locked="0" layoutInCell="1" allowOverlap="1" wp14:anchorId="558B6A76" wp14:editId="60801A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485265"/>
            <wp:effectExtent l="0" t="0" r="0" b="0"/>
            <wp:wrapNone/>
            <wp:docPr id="1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372A5F" w14:textId="77777777" w:rsidR="00A46463" w:rsidRDefault="00A46463" w:rsidP="00A46463">
      <w:pPr>
        <w:pStyle w:val="Textoindependiente"/>
        <w:rPr>
          <w:sz w:val="20"/>
        </w:rPr>
      </w:pPr>
    </w:p>
    <w:p w14:paraId="6A61320F" w14:textId="77777777" w:rsidR="00A46463" w:rsidRDefault="00A46463" w:rsidP="00A46463">
      <w:pPr>
        <w:pStyle w:val="Textoindependiente"/>
        <w:rPr>
          <w:sz w:val="20"/>
        </w:rPr>
      </w:pPr>
    </w:p>
    <w:p w14:paraId="2DCA6874" w14:textId="77777777" w:rsidR="00A46463" w:rsidRDefault="00A46463" w:rsidP="00A46463">
      <w:pPr>
        <w:pStyle w:val="Textoindependiente"/>
        <w:rPr>
          <w:sz w:val="20"/>
        </w:rPr>
      </w:pPr>
    </w:p>
    <w:p w14:paraId="4915FF69" w14:textId="77777777" w:rsidR="00A46463" w:rsidRDefault="00A46463" w:rsidP="00A46463">
      <w:pPr>
        <w:pStyle w:val="Textoindependiente"/>
        <w:rPr>
          <w:sz w:val="20"/>
        </w:rPr>
      </w:pPr>
    </w:p>
    <w:p w14:paraId="6BF42DBE" w14:textId="77777777" w:rsidR="00A46463" w:rsidRDefault="00A46463" w:rsidP="00A46463">
      <w:pPr>
        <w:pStyle w:val="Textoindependiente"/>
        <w:rPr>
          <w:sz w:val="20"/>
        </w:rPr>
      </w:pPr>
    </w:p>
    <w:p w14:paraId="118BC09F" w14:textId="77777777" w:rsidR="00A46463" w:rsidRDefault="00A84462" w:rsidP="00A46463">
      <w:pPr>
        <w:pStyle w:val="Textoindependiente"/>
        <w:rPr>
          <w:sz w:val="20"/>
        </w:rPr>
      </w:pPr>
      <w:r>
        <w:rPr>
          <w:noProof/>
          <w:sz w:val="20"/>
          <w:lang w:val="es-DO" w:eastAsia="es-DO"/>
        </w:rPr>
        <w:drawing>
          <wp:anchor distT="0" distB="0" distL="114300" distR="114300" simplePos="0" relativeHeight="251669504" behindDoc="0" locked="0" layoutInCell="1" allowOverlap="1" wp14:anchorId="2D805866" wp14:editId="2FCC0923">
            <wp:simplePos x="0" y="0"/>
            <wp:positionH relativeFrom="margin">
              <wp:align>center</wp:align>
            </wp:positionH>
            <wp:positionV relativeFrom="paragraph">
              <wp:posOffset>117171</wp:posOffset>
            </wp:positionV>
            <wp:extent cx="4754245" cy="1836420"/>
            <wp:effectExtent l="0" t="0" r="8255" b="0"/>
            <wp:wrapThrough wrapText="bothSides">
              <wp:wrapPolygon edited="0">
                <wp:start x="10819" y="3137"/>
                <wp:lineTo x="8655" y="3809"/>
                <wp:lineTo x="346" y="6498"/>
                <wp:lineTo x="87" y="10307"/>
                <wp:lineTo x="260" y="10755"/>
                <wp:lineTo x="1644" y="10755"/>
                <wp:lineTo x="4328" y="14340"/>
                <wp:lineTo x="4414" y="15909"/>
                <wp:lineTo x="8395" y="16805"/>
                <wp:lineTo x="9001" y="16805"/>
                <wp:lineTo x="14281" y="16357"/>
                <wp:lineTo x="17137" y="15685"/>
                <wp:lineTo x="17137" y="14340"/>
                <wp:lineTo x="17916" y="10755"/>
                <wp:lineTo x="21551" y="10755"/>
                <wp:lineTo x="21551" y="10083"/>
                <wp:lineTo x="21464" y="6498"/>
                <wp:lineTo x="11511" y="3137"/>
                <wp:lineTo x="10819" y="3137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INSTITUCIONAL - ACUARIO NACIONA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31" b="32929"/>
                    <a:stretch/>
                  </pic:blipFill>
                  <pic:spPr bwMode="auto">
                    <a:xfrm>
                      <a:off x="0" y="0"/>
                      <a:ext cx="4754245" cy="1836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94B22" w14:textId="77777777" w:rsidR="00A46463" w:rsidRDefault="00A46463" w:rsidP="00A46463">
      <w:pPr>
        <w:pStyle w:val="Textoindependiente"/>
        <w:rPr>
          <w:sz w:val="20"/>
        </w:rPr>
      </w:pPr>
    </w:p>
    <w:p w14:paraId="17743A1C" w14:textId="77777777" w:rsidR="00A46463" w:rsidRDefault="00A46463" w:rsidP="00A46463">
      <w:pPr>
        <w:pStyle w:val="Textoindependiente"/>
        <w:rPr>
          <w:sz w:val="20"/>
        </w:rPr>
      </w:pPr>
    </w:p>
    <w:p w14:paraId="60E60715" w14:textId="77777777" w:rsidR="00A46463" w:rsidRDefault="00A46463" w:rsidP="00A46463">
      <w:pPr>
        <w:pStyle w:val="Textoindependiente"/>
        <w:rPr>
          <w:sz w:val="20"/>
        </w:rPr>
      </w:pPr>
    </w:p>
    <w:p w14:paraId="73AA9255" w14:textId="77777777" w:rsidR="00A46463" w:rsidRDefault="00A46463" w:rsidP="00A46463">
      <w:pPr>
        <w:pStyle w:val="Textoindependiente"/>
        <w:spacing w:before="3"/>
        <w:rPr>
          <w:sz w:val="12"/>
        </w:rPr>
      </w:pPr>
    </w:p>
    <w:p w14:paraId="71BCC1AF" w14:textId="77777777" w:rsidR="00A46463" w:rsidRDefault="00A46463" w:rsidP="00A46463">
      <w:pPr>
        <w:pStyle w:val="Textoindependiente"/>
        <w:ind w:left="2360"/>
        <w:rPr>
          <w:sz w:val="20"/>
        </w:rPr>
      </w:pPr>
    </w:p>
    <w:p w14:paraId="715F4BAF" w14:textId="77777777" w:rsidR="00A46463" w:rsidRDefault="00A46463" w:rsidP="00A46463">
      <w:pPr>
        <w:pStyle w:val="Textoindependiente"/>
        <w:rPr>
          <w:sz w:val="20"/>
        </w:rPr>
      </w:pPr>
    </w:p>
    <w:p w14:paraId="6FE7752D" w14:textId="77777777" w:rsidR="00A46463" w:rsidRDefault="00A46463" w:rsidP="00A46463">
      <w:pPr>
        <w:pStyle w:val="Textoindependiente"/>
        <w:rPr>
          <w:sz w:val="20"/>
        </w:rPr>
      </w:pPr>
    </w:p>
    <w:p w14:paraId="1D874240" w14:textId="77777777" w:rsidR="00A46463" w:rsidRDefault="00A46463" w:rsidP="00A46463">
      <w:pPr>
        <w:pStyle w:val="Textoindependiente"/>
        <w:ind w:left="284" w:right="-427"/>
        <w:rPr>
          <w:sz w:val="20"/>
        </w:rPr>
      </w:pPr>
    </w:p>
    <w:p w14:paraId="69055150" w14:textId="77777777" w:rsidR="00A46463" w:rsidRDefault="00A46463" w:rsidP="00A46463">
      <w:pPr>
        <w:pStyle w:val="Textoindependiente"/>
        <w:spacing w:before="3"/>
        <w:ind w:right="-427"/>
      </w:pPr>
    </w:p>
    <w:p w14:paraId="0C0D4F85" w14:textId="77777777" w:rsidR="00A46463" w:rsidRDefault="00A46463" w:rsidP="00A46463">
      <w:pPr>
        <w:pStyle w:val="Textoindependiente"/>
        <w:spacing w:before="3"/>
        <w:ind w:right="-427"/>
      </w:pPr>
    </w:p>
    <w:p w14:paraId="75B0528B" w14:textId="77777777" w:rsidR="00A46463" w:rsidRDefault="00A46463" w:rsidP="00A46463">
      <w:pPr>
        <w:pStyle w:val="Textoindependiente"/>
        <w:spacing w:before="3"/>
        <w:ind w:right="-427"/>
      </w:pPr>
    </w:p>
    <w:p w14:paraId="085B854D" w14:textId="77777777" w:rsidR="00A46463" w:rsidRDefault="00A46463" w:rsidP="00A46463">
      <w:pPr>
        <w:pStyle w:val="Textoindependiente"/>
        <w:spacing w:before="3"/>
        <w:ind w:right="-427"/>
      </w:pPr>
    </w:p>
    <w:p w14:paraId="3A15968B" w14:textId="77777777" w:rsidR="00A46463" w:rsidRDefault="00A46463" w:rsidP="00A46463">
      <w:pPr>
        <w:pStyle w:val="Textoindependiente"/>
        <w:spacing w:before="3"/>
        <w:ind w:right="-427"/>
      </w:pPr>
    </w:p>
    <w:p w14:paraId="693D157B" w14:textId="77777777" w:rsidR="00A46463" w:rsidRDefault="00A46463" w:rsidP="00A46463">
      <w:pPr>
        <w:pStyle w:val="Textoindependiente"/>
        <w:spacing w:before="3"/>
        <w:ind w:right="-427"/>
      </w:pPr>
    </w:p>
    <w:p w14:paraId="676DF85B" w14:textId="77777777" w:rsidR="00A46463" w:rsidRDefault="00A46463" w:rsidP="00A46463">
      <w:pPr>
        <w:pStyle w:val="Textoindependiente"/>
        <w:spacing w:before="3"/>
        <w:ind w:right="-427"/>
      </w:pPr>
    </w:p>
    <w:p w14:paraId="00DDB1C0" w14:textId="77777777" w:rsidR="00A46463" w:rsidRDefault="00A46463" w:rsidP="00A46463">
      <w:pPr>
        <w:pStyle w:val="Textoindependiente"/>
        <w:spacing w:before="3"/>
        <w:ind w:right="-427"/>
      </w:pPr>
    </w:p>
    <w:p w14:paraId="53F8BB6F" w14:textId="77777777" w:rsidR="00A46463" w:rsidRDefault="00A46463" w:rsidP="00A46463">
      <w:pPr>
        <w:pStyle w:val="Textoindependiente"/>
        <w:spacing w:before="3"/>
        <w:ind w:right="-427"/>
      </w:pPr>
    </w:p>
    <w:p w14:paraId="083B835F" w14:textId="77777777" w:rsidR="00A46463" w:rsidRDefault="00A46463" w:rsidP="00A46463">
      <w:pPr>
        <w:pStyle w:val="Textoindependiente"/>
        <w:spacing w:before="3"/>
        <w:ind w:right="-427"/>
      </w:pPr>
    </w:p>
    <w:p w14:paraId="6E2B7D9E" w14:textId="77777777" w:rsidR="00A46463" w:rsidRDefault="00A46463" w:rsidP="00A46463">
      <w:pPr>
        <w:pStyle w:val="Textoindependiente"/>
        <w:spacing w:before="3"/>
        <w:ind w:right="-427"/>
      </w:pPr>
    </w:p>
    <w:p w14:paraId="157F19C0" w14:textId="77777777" w:rsidR="00A46463" w:rsidRDefault="00A46463" w:rsidP="00A46463">
      <w:pPr>
        <w:pStyle w:val="Textoindependiente"/>
        <w:spacing w:before="3"/>
        <w:ind w:right="-427"/>
      </w:pPr>
    </w:p>
    <w:p w14:paraId="480B9E43" w14:textId="7BD3E8D5" w:rsidR="00A46463" w:rsidRDefault="00A46463" w:rsidP="00A46463">
      <w:pPr>
        <w:pStyle w:val="Ttulo"/>
        <w:spacing w:before="85"/>
        <w:ind w:left="284" w:right="-427"/>
        <w:rPr>
          <w:color w:val="4F81BC"/>
        </w:rPr>
      </w:pPr>
      <w:r w:rsidRPr="009666D8">
        <w:rPr>
          <w:color w:val="4F81BC"/>
        </w:rPr>
        <w:t xml:space="preserve">Oficina de Libre Acceso a la Información Pública (OAI) </w:t>
      </w:r>
      <w:r>
        <w:rPr>
          <w:color w:val="4F81BC"/>
        </w:rPr>
        <w:t>Consolidado de la Estadística y Balance de G</w:t>
      </w:r>
      <w:r w:rsidRPr="00CF1C5E">
        <w:rPr>
          <w:color w:val="4F81BC"/>
        </w:rPr>
        <w:t xml:space="preserve">estión </w:t>
      </w:r>
      <w:r>
        <w:rPr>
          <w:color w:val="4F81BC"/>
        </w:rPr>
        <w:t xml:space="preserve">del </w:t>
      </w:r>
      <w:r w:rsidR="008C7E7C">
        <w:rPr>
          <w:color w:val="4F81BC"/>
        </w:rPr>
        <w:t xml:space="preserve">año </w:t>
      </w:r>
      <w:r w:rsidR="00664810">
        <w:rPr>
          <w:color w:val="4F81BC"/>
        </w:rPr>
        <w:t>202</w:t>
      </w:r>
      <w:r w:rsidR="00306882">
        <w:rPr>
          <w:color w:val="4F81BC"/>
        </w:rPr>
        <w:t>5</w:t>
      </w:r>
    </w:p>
    <w:p w14:paraId="00C33D12" w14:textId="77777777" w:rsidR="00A46463" w:rsidRDefault="00A46463" w:rsidP="00A46463">
      <w:pPr>
        <w:pStyle w:val="Ttulo"/>
        <w:spacing w:before="85"/>
        <w:ind w:left="284" w:right="-427"/>
        <w:rPr>
          <w:color w:val="404040"/>
          <w:sz w:val="34"/>
        </w:rPr>
      </w:pPr>
    </w:p>
    <w:p w14:paraId="5D0A8F03" w14:textId="77777777" w:rsidR="00A46463" w:rsidRDefault="00A46463" w:rsidP="00A46463">
      <w:pPr>
        <w:pStyle w:val="Ttulo"/>
        <w:spacing w:before="85"/>
        <w:ind w:left="284" w:right="-427"/>
        <w:rPr>
          <w:color w:val="404040"/>
          <w:sz w:val="34"/>
        </w:rPr>
      </w:pPr>
    </w:p>
    <w:p w14:paraId="791D5E1F" w14:textId="77777777" w:rsidR="00A46463" w:rsidRDefault="00A46463" w:rsidP="00A46463">
      <w:pPr>
        <w:pStyle w:val="Ttulo"/>
        <w:spacing w:before="85"/>
        <w:ind w:left="284" w:right="-427"/>
        <w:rPr>
          <w:color w:val="404040"/>
          <w:sz w:val="34"/>
        </w:rPr>
      </w:pPr>
      <w:r>
        <w:rPr>
          <w:color w:val="404040"/>
          <w:sz w:val="34"/>
        </w:rPr>
        <w:t xml:space="preserve">INFORME </w:t>
      </w:r>
      <w:r w:rsidR="008C7E7C">
        <w:rPr>
          <w:color w:val="404040"/>
          <w:sz w:val="34"/>
        </w:rPr>
        <w:t xml:space="preserve">ANUAL </w:t>
      </w:r>
      <w:r>
        <w:rPr>
          <w:color w:val="404040"/>
          <w:sz w:val="34"/>
        </w:rPr>
        <w:t xml:space="preserve">GESTION DE LA </w:t>
      </w:r>
    </w:p>
    <w:p w14:paraId="76B0D67A" w14:textId="77777777" w:rsidR="00A46463" w:rsidRDefault="00A46463" w:rsidP="00A46463">
      <w:pPr>
        <w:pStyle w:val="Ttulo"/>
        <w:spacing w:before="85"/>
        <w:ind w:left="284" w:right="-427"/>
        <w:jc w:val="center"/>
        <w:rPr>
          <w:sz w:val="34"/>
        </w:rPr>
      </w:pPr>
      <w:r>
        <w:rPr>
          <w:color w:val="404040"/>
          <w:sz w:val="34"/>
        </w:rPr>
        <w:t xml:space="preserve"> </w:t>
      </w:r>
      <w:r>
        <w:rPr>
          <w:color w:val="404040"/>
          <w:sz w:val="34"/>
        </w:rPr>
        <w:tab/>
      </w:r>
      <w:r>
        <w:rPr>
          <w:color w:val="404040"/>
          <w:sz w:val="34"/>
        </w:rPr>
        <w:tab/>
      </w:r>
      <w:r>
        <w:rPr>
          <w:color w:val="404040"/>
          <w:sz w:val="34"/>
        </w:rPr>
        <w:tab/>
      </w:r>
      <w:r>
        <w:rPr>
          <w:color w:val="404040"/>
          <w:sz w:val="34"/>
        </w:rPr>
        <w:tab/>
      </w:r>
      <w:r>
        <w:rPr>
          <w:color w:val="404040"/>
          <w:sz w:val="34"/>
        </w:rPr>
        <w:tab/>
      </w:r>
      <w:r>
        <w:rPr>
          <w:color w:val="404040"/>
          <w:sz w:val="34"/>
        </w:rPr>
        <w:tab/>
      </w:r>
      <w:r>
        <w:rPr>
          <w:color w:val="404040"/>
          <w:sz w:val="34"/>
        </w:rPr>
        <w:tab/>
        <w:t>(OAI)</w:t>
      </w:r>
      <w:r w:rsidR="00D279E7">
        <w:rPr>
          <w:color w:val="404040"/>
          <w:sz w:val="34"/>
        </w:rPr>
        <w:t xml:space="preserve"> </w:t>
      </w:r>
    </w:p>
    <w:p w14:paraId="7920F30A" w14:textId="77777777" w:rsidR="00A46463" w:rsidRDefault="00A46463" w:rsidP="00A46463">
      <w:pPr>
        <w:pStyle w:val="Textoindependiente"/>
        <w:ind w:right="-427"/>
        <w:rPr>
          <w:sz w:val="20"/>
        </w:rPr>
      </w:pPr>
    </w:p>
    <w:p w14:paraId="0018B60E" w14:textId="77777777" w:rsidR="00A46463" w:rsidRDefault="00A46463" w:rsidP="00664810">
      <w:pPr>
        <w:pStyle w:val="Textoindependiente"/>
        <w:ind w:right="-427"/>
        <w:rPr>
          <w:sz w:val="20"/>
        </w:rPr>
      </w:pPr>
    </w:p>
    <w:p w14:paraId="4F0CEE75" w14:textId="77777777" w:rsidR="00A46463" w:rsidRDefault="00A46463" w:rsidP="00A46463">
      <w:pPr>
        <w:pStyle w:val="Ttulo1"/>
        <w:ind w:left="284" w:right="-427"/>
        <w:jc w:val="right"/>
      </w:pPr>
      <w:r>
        <w:rPr>
          <w:color w:val="4F81BC"/>
        </w:rPr>
        <w:t>Descripción</w:t>
      </w:r>
      <w:r>
        <w:rPr>
          <w:color w:val="4F81BC"/>
          <w:spacing w:val="-15"/>
        </w:rPr>
        <w:t xml:space="preserve"> </w:t>
      </w:r>
      <w:r>
        <w:rPr>
          <w:color w:val="4F81BC"/>
        </w:rPr>
        <w:t>breve</w:t>
      </w:r>
    </w:p>
    <w:p w14:paraId="3E24E143" w14:textId="77777777" w:rsidR="00A46463" w:rsidRPr="00CF1C5E" w:rsidRDefault="00A46463" w:rsidP="00A46463">
      <w:pPr>
        <w:spacing w:before="1"/>
        <w:ind w:left="284" w:right="-427"/>
        <w:jc w:val="right"/>
        <w:rPr>
          <w:sz w:val="20"/>
          <w:lang w:val="es-DO"/>
        </w:rPr>
      </w:pPr>
      <w:r w:rsidRPr="00D27601">
        <w:rPr>
          <w:color w:val="585858"/>
          <w:sz w:val="20"/>
          <w:lang w:val="es-DO"/>
        </w:rPr>
        <w:t>Establecimiento formal de la Estadística y Balance de</w:t>
      </w:r>
      <w:r>
        <w:rPr>
          <w:color w:val="585858"/>
          <w:sz w:val="20"/>
          <w:lang w:val="es-DO"/>
        </w:rPr>
        <w:t xml:space="preserve"> Gestión de la (OAI), Garantiza</w:t>
      </w:r>
      <w:r w:rsidRPr="00D27601">
        <w:rPr>
          <w:color w:val="585858"/>
          <w:sz w:val="20"/>
          <w:lang w:val="es-DO"/>
        </w:rPr>
        <w:t xml:space="preserve"> el Acceso Oportuno y Transparente a la Información del Acuario Nacional con la descripción de las actividades más relevantes que garantizan proveer el bien o servicio ofertado al ciudadano/cliente de forma eficaz y eficiente.</w:t>
      </w:r>
      <w:r w:rsidRPr="00CF1C5E">
        <w:rPr>
          <w:sz w:val="20"/>
          <w:lang w:val="es-DO"/>
        </w:rPr>
        <w:t xml:space="preserve"> </w:t>
      </w:r>
    </w:p>
    <w:p w14:paraId="27E297E4" w14:textId="77777777" w:rsidR="00A46463" w:rsidRDefault="00A46463" w:rsidP="00A46463">
      <w:pPr>
        <w:pStyle w:val="Textoindependiente"/>
        <w:ind w:left="284" w:right="-427"/>
        <w:rPr>
          <w:sz w:val="20"/>
        </w:rPr>
      </w:pPr>
    </w:p>
    <w:p w14:paraId="3AE9C36B" w14:textId="77777777" w:rsidR="00A46463" w:rsidRDefault="00A46463" w:rsidP="00A46463">
      <w:pPr>
        <w:pStyle w:val="Textoindependiente"/>
        <w:ind w:left="284" w:right="-427"/>
        <w:rPr>
          <w:sz w:val="20"/>
        </w:rPr>
      </w:pPr>
    </w:p>
    <w:p w14:paraId="34FAC58D" w14:textId="77777777" w:rsidR="00A46463" w:rsidRDefault="00A46463" w:rsidP="00A46463">
      <w:pPr>
        <w:pStyle w:val="Textoindependiente"/>
        <w:ind w:left="284" w:right="-427"/>
        <w:rPr>
          <w:sz w:val="20"/>
        </w:rPr>
      </w:pPr>
    </w:p>
    <w:p w14:paraId="1379785C" w14:textId="77777777" w:rsidR="00A46463" w:rsidRPr="004246F2" w:rsidRDefault="00A46463" w:rsidP="00A46463">
      <w:pPr>
        <w:spacing w:line="183" w:lineRule="exact"/>
        <w:ind w:left="284" w:right="-427"/>
        <w:jc w:val="right"/>
        <w:rPr>
          <w:sz w:val="18"/>
          <w:lang w:val="es-DO"/>
        </w:rPr>
      </w:pPr>
      <w:r w:rsidRPr="004246F2">
        <w:rPr>
          <w:spacing w:val="-1"/>
          <w:sz w:val="18"/>
          <w:lang w:val="es-DO"/>
        </w:rPr>
        <w:t>Santo</w:t>
      </w:r>
      <w:r w:rsidRPr="004246F2">
        <w:rPr>
          <w:spacing w:val="-9"/>
          <w:sz w:val="18"/>
          <w:lang w:val="es-DO"/>
        </w:rPr>
        <w:t xml:space="preserve"> </w:t>
      </w:r>
      <w:r w:rsidRPr="004246F2">
        <w:rPr>
          <w:spacing w:val="-1"/>
          <w:sz w:val="18"/>
          <w:lang w:val="es-DO"/>
        </w:rPr>
        <w:t>Domingo</w:t>
      </w:r>
      <w:r w:rsidRPr="004246F2">
        <w:rPr>
          <w:spacing w:val="-4"/>
          <w:sz w:val="18"/>
          <w:lang w:val="es-DO"/>
        </w:rPr>
        <w:t xml:space="preserve"> </w:t>
      </w:r>
      <w:r w:rsidRPr="004246F2">
        <w:rPr>
          <w:sz w:val="18"/>
          <w:lang w:val="es-DO"/>
        </w:rPr>
        <w:t>Este,</w:t>
      </w:r>
      <w:r w:rsidRPr="004246F2">
        <w:rPr>
          <w:spacing w:val="-3"/>
          <w:sz w:val="18"/>
          <w:lang w:val="es-DO"/>
        </w:rPr>
        <w:t xml:space="preserve"> </w:t>
      </w:r>
      <w:r w:rsidRPr="004246F2">
        <w:rPr>
          <w:sz w:val="18"/>
          <w:lang w:val="es-DO"/>
        </w:rPr>
        <w:t>República</w:t>
      </w:r>
      <w:r w:rsidRPr="004246F2">
        <w:rPr>
          <w:spacing w:val="-5"/>
          <w:sz w:val="18"/>
          <w:lang w:val="es-DO"/>
        </w:rPr>
        <w:t xml:space="preserve"> </w:t>
      </w:r>
      <w:r w:rsidRPr="004246F2">
        <w:rPr>
          <w:sz w:val="18"/>
          <w:lang w:val="es-DO"/>
        </w:rPr>
        <w:t>Dominicana</w:t>
      </w:r>
    </w:p>
    <w:p w14:paraId="360B157F" w14:textId="657355BE" w:rsidR="004A30B9" w:rsidRPr="00D279E7" w:rsidRDefault="00A46463" w:rsidP="00D279E7">
      <w:pPr>
        <w:spacing w:line="183" w:lineRule="exact"/>
        <w:ind w:left="284" w:right="-427"/>
        <w:jc w:val="right"/>
        <w:rPr>
          <w:sz w:val="18"/>
          <w:lang w:val="es-DO"/>
        </w:rPr>
      </w:pPr>
      <w:r>
        <w:rPr>
          <w:sz w:val="18"/>
          <w:lang w:val="es-DO"/>
        </w:rPr>
        <w:t>202</w:t>
      </w:r>
      <w:r w:rsidR="00306882">
        <w:rPr>
          <w:sz w:val="18"/>
          <w:lang w:val="es-DO"/>
        </w:rPr>
        <w:t>5</w:t>
      </w:r>
    </w:p>
    <w:p w14:paraId="62448C31" w14:textId="00499EDF" w:rsidR="00A83D9B" w:rsidRPr="0051005A" w:rsidRDefault="00A83D9B" w:rsidP="0051005A">
      <w:pPr>
        <w:pStyle w:val="Prrafodelista"/>
        <w:numPr>
          <w:ilvl w:val="1"/>
          <w:numId w:val="1"/>
        </w:numPr>
        <w:tabs>
          <w:tab w:val="left" w:pos="987"/>
          <w:tab w:val="left" w:pos="988"/>
        </w:tabs>
        <w:spacing w:before="62"/>
        <w:ind w:left="988" w:hanging="511"/>
        <w:jc w:val="both"/>
        <w:rPr>
          <w:b/>
          <w:sz w:val="24"/>
          <w:szCs w:val="24"/>
        </w:rPr>
      </w:pPr>
      <w:r w:rsidRPr="0051005A">
        <w:rPr>
          <w:b/>
          <w:color w:val="766F6F"/>
          <w:spacing w:val="11"/>
          <w:sz w:val="24"/>
          <w:szCs w:val="24"/>
        </w:rPr>
        <w:lastRenderedPageBreak/>
        <w:t>Nivel</w:t>
      </w:r>
      <w:r w:rsidRPr="0051005A">
        <w:rPr>
          <w:b/>
          <w:color w:val="766F6F"/>
          <w:spacing w:val="61"/>
          <w:sz w:val="24"/>
          <w:szCs w:val="24"/>
        </w:rPr>
        <w:t xml:space="preserve"> </w:t>
      </w:r>
      <w:r w:rsidRPr="0051005A">
        <w:rPr>
          <w:b/>
          <w:color w:val="766F6F"/>
          <w:sz w:val="24"/>
          <w:szCs w:val="24"/>
        </w:rPr>
        <w:t>de</w:t>
      </w:r>
      <w:r w:rsidRPr="0051005A">
        <w:rPr>
          <w:b/>
          <w:color w:val="766F6F"/>
          <w:spacing w:val="50"/>
          <w:sz w:val="24"/>
          <w:szCs w:val="24"/>
        </w:rPr>
        <w:t xml:space="preserve"> </w:t>
      </w:r>
      <w:r w:rsidRPr="0051005A">
        <w:rPr>
          <w:b/>
          <w:color w:val="766F6F"/>
          <w:spacing w:val="10"/>
          <w:sz w:val="24"/>
          <w:szCs w:val="24"/>
        </w:rPr>
        <w:t>cumplimiento</w:t>
      </w:r>
      <w:r w:rsidRPr="0051005A">
        <w:rPr>
          <w:b/>
          <w:color w:val="766F6F"/>
          <w:spacing w:val="56"/>
          <w:sz w:val="24"/>
          <w:szCs w:val="24"/>
        </w:rPr>
        <w:t xml:space="preserve"> </w:t>
      </w:r>
      <w:r w:rsidRPr="0051005A">
        <w:rPr>
          <w:b/>
          <w:color w:val="766F6F"/>
          <w:sz w:val="24"/>
          <w:szCs w:val="24"/>
        </w:rPr>
        <w:t>de</w:t>
      </w:r>
      <w:r w:rsidRPr="0051005A">
        <w:rPr>
          <w:b/>
          <w:color w:val="766F6F"/>
          <w:spacing w:val="50"/>
          <w:sz w:val="24"/>
          <w:szCs w:val="24"/>
        </w:rPr>
        <w:t xml:space="preserve"> </w:t>
      </w:r>
      <w:r w:rsidRPr="0051005A">
        <w:rPr>
          <w:b/>
          <w:color w:val="766F6F"/>
          <w:spacing w:val="11"/>
          <w:sz w:val="24"/>
          <w:szCs w:val="24"/>
        </w:rPr>
        <w:t>Acceso</w:t>
      </w:r>
      <w:r w:rsidRPr="0051005A">
        <w:rPr>
          <w:b/>
          <w:color w:val="766F6F"/>
          <w:spacing w:val="54"/>
          <w:sz w:val="24"/>
          <w:szCs w:val="24"/>
        </w:rPr>
        <w:t xml:space="preserve"> </w:t>
      </w:r>
      <w:r w:rsidRPr="0051005A">
        <w:rPr>
          <w:b/>
          <w:color w:val="766F6F"/>
          <w:sz w:val="24"/>
          <w:szCs w:val="24"/>
        </w:rPr>
        <w:t>a</w:t>
      </w:r>
      <w:r w:rsidRPr="0051005A">
        <w:rPr>
          <w:b/>
          <w:color w:val="766F6F"/>
          <w:spacing w:val="50"/>
          <w:sz w:val="24"/>
          <w:szCs w:val="24"/>
        </w:rPr>
        <w:t xml:space="preserve"> </w:t>
      </w:r>
      <w:r w:rsidRPr="0051005A">
        <w:rPr>
          <w:b/>
          <w:color w:val="766F6F"/>
          <w:sz w:val="24"/>
          <w:szCs w:val="24"/>
        </w:rPr>
        <w:t>la</w:t>
      </w:r>
      <w:r w:rsidRPr="0051005A">
        <w:rPr>
          <w:b/>
          <w:color w:val="766F6F"/>
          <w:spacing w:val="49"/>
          <w:sz w:val="24"/>
          <w:szCs w:val="24"/>
        </w:rPr>
        <w:t xml:space="preserve"> </w:t>
      </w:r>
      <w:r w:rsidRPr="0051005A">
        <w:rPr>
          <w:b/>
          <w:color w:val="766F6F"/>
          <w:spacing w:val="12"/>
          <w:sz w:val="24"/>
          <w:szCs w:val="24"/>
        </w:rPr>
        <w:t>Información</w:t>
      </w:r>
    </w:p>
    <w:p w14:paraId="7AC31295" w14:textId="77777777" w:rsidR="00A83D9B" w:rsidRPr="0051005A" w:rsidRDefault="00A83D9B" w:rsidP="0051005A">
      <w:pPr>
        <w:pStyle w:val="Textoindependiente"/>
        <w:jc w:val="both"/>
      </w:pPr>
    </w:p>
    <w:p w14:paraId="28ACD5B7" w14:textId="77777777" w:rsidR="00A83D9B" w:rsidRPr="0051005A" w:rsidRDefault="00A83D9B" w:rsidP="0051005A">
      <w:pPr>
        <w:pStyle w:val="Textoindependiente"/>
        <w:spacing w:before="5"/>
        <w:jc w:val="both"/>
      </w:pPr>
    </w:p>
    <w:p w14:paraId="17CEE9FC" w14:textId="69ACBF8E" w:rsidR="0051005A" w:rsidRDefault="00047141" w:rsidP="0051005A">
      <w:pPr>
        <w:pStyle w:val="Textoindependiente"/>
        <w:spacing w:line="360" w:lineRule="auto"/>
        <w:ind w:left="642" w:right="766"/>
        <w:jc w:val="both"/>
        <w:rPr>
          <w:color w:val="767070"/>
          <w:spacing w:val="13"/>
        </w:rPr>
      </w:pPr>
      <w:r w:rsidRPr="00047141">
        <w:rPr>
          <w:color w:val="767070"/>
          <w:spacing w:val="13"/>
        </w:rPr>
        <w:t>Durante el año 2025 la Oficina de Acceso a la Información Pública (OAI) del Acuario Nacional, recibió un total de 2</w:t>
      </w:r>
      <w:r>
        <w:rPr>
          <w:color w:val="767070"/>
          <w:spacing w:val="13"/>
        </w:rPr>
        <w:t>7</w:t>
      </w:r>
      <w:r w:rsidRPr="00047141">
        <w:rPr>
          <w:color w:val="767070"/>
          <w:spacing w:val="13"/>
        </w:rPr>
        <w:t xml:space="preserve"> solicitudes de información a través del Portal Único de Solicitud de Acceso a la Información Pública (SAIP), de las cuales 1</w:t>
      </w:r>
      <w:r>
        <w:rPr>
          <w:color w:val="767070"/>
          <w:spacing w:val="13"/>
        </w:rPr>
        <w:t>9</w:t>
      </w:r>
      <w:r w:rsidRPr="00047141">
        <w:rPr>
          <w:color w:val="767070"/>
          <w:spacing w:val="13"/>
        </w:rPr>
        <w:t xml:space="preserve"> fueron respondidas y </w:t>
      </w:r>
      <w:r>
        <w:rPr>
          <w:color w:val="767070"/>
          <w:spacing w:val="13"/>
        </w:rPr>
        <w:t>8</w:t>
      </w:r>
      <w:r w:rsidRPr="00047141">
        <w:rPr>
          <w:color w:val="767070"/>
          <w:spacing w:val="13"/>
        </w:rPr>
        <w:t xml:space="preserve"> fueron rechazada, al no cumplir con los requisitos de identificaciones del solicitante, claridad y precisión de los datos solicitados, de acuerdo con lo establecido en la Ley. No. 200-04. Cabe destacar que no se recibieron solicitudes a través de otros medios distintos al SAIP.</w:t>
      </w:r>
    </w:p>
    <w:p w14:paraId="673D2B61" w14:textId="77777777" w:rsidR="00047141" w:rsidRPr="0051005A" w:rsidRDefault="00047141" w:rsidP="0051005A">
      <w:pPr>
        <w:pStyle w:val="Textoindependiente"/>
        <w:spacing w:line="360" w:lineRule="auto"/>
        <w:ind w:left="642" w:right="766"/>
        <w:jc w:val="both"/>
        <w:rPr>
          <w:color w:val="767070"/>
          <w:spacing w:val="13"/>
        </w:rPr>
      </w:pPr>
    </w:p>
    <w:p w14:paraId="59F9F1FC" w14:textId="0F0B9881" w:rsidR="00DA652B" w:rsidRDefault="0051005A" w:rsidP="00BC61C3">
      <w:pPr>
        <w:pStyle w:val="Textoindependiente"/>
        <w:spacing w:line="360" w:lineRule="auto"/>
        <w:ind w:left="642" w:right="766"/>
        <w:jc w:val="both"/>
        <w:rPr>
          <w:color w:val="767070"/>
          <w:spacing w:val="13"/>
        </w:rPr>
      </w:pPr>
      <w:r w:rsidRPr="0051005A">
        <w:rPr>
          <w:color w:val="767070"/>
          <w:spacing w:val="13"/>
        </w:rPr>
        <w:t>Todas estas solicitudes recibidas durante este período fueron atendidas dentro del plazo de los 15 días hábiles, según lo establecido el artículo 8 y lo citado en el artículo 11 sobre la forma de entrega de las solicitudes de la Ley General de Libre Acceso a la Información Pública, Ley No. 200-04 y El Decreto 130-05 que aprueba su reglamento de aplicación y la Resolución No. 002-2021 que crea el portal único de Transparencia y establece la Política de estandarización.</w:t>
      </w:r>
    </w:p>
    <w:p w14:paraId="55C8F84E" w14:textId="77777777" w:rsidR="00DA652B" w:rsidRDefault="00DA652B" w:rsidP="0051005A">
      <w:pPr>
        <w:pStyle w:val="Textoindependiente"/>
        <w:spacing w:line="360" w:lineRule="auto"/>
        <w:ind w:left="642" w:right="766"/>
        <w:jc w:val="both"/>
        <w:rPr>
          <w:color w:val="767070"/>
          <w:spacing w:val="13"/>
        </w:rPr>
      </w:pPr>
    </w:p>
    <w:p w14:paraId="2DB02691" w14:textId="77777777" w:rsidR="00BC61C3" w:rsidRPr="0051005A" w:rsidRDefault="00BC61C3" w:rsidP="0051005A">
      <w:pPr>
        <w:pStyle w:val="Textoindependiente"/>
        <w:spacing w:line="360" w:lineRule="auto"/>
        <w:ind w:left="642" w:right="766"/>
        <w:jc w:val="both"/>
        <w:rPr>
          <w:color w:val="767070"/>
          <w:spacing w:val="13"/>
        </w:rPr>
      </w:pPr>
    </w:p>
    <w:tbl>
      <w:tblPr>
        <w:tblW w:w="8398" w:type="dxa"/>
        <w:tblInd w:w="3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2105"/>
        <w:gridCol w:w="1134"/>
        <w:gridCol w:w="1559"/>
      </w:tblGrid>
      <w:tr w:rsidR="00DA652B" w:rsidRPr="00DA652B" w14:paraId="2D1BA8D5" w14:textId="77777777" w:rsidTr="00DA652B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3A25A14C" w14:textId="77777777" w:rsidR="00DA652B" w:rsidRPr="00DA652B" w:rsidRDefault="00DA652B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DA652B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 xml:space="preserve">Medios 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50A9AA0A" w14:textId="77777777" w:rsidR="00DA652B" w:rsidRPr="00DA652B" w:rsidRDefault="00DA652B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DA652B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Recibidas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17ED1BC6" w14:textId="77777777" w:rsidR="00DA652B" w:rsidRPr="00DA652B" w:rsidRDefault="00DA652B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DA652B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Resueltas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7E4F421C" w14:textId="77777777" w:rsidR="00DA652B" w:rsidRPr="00DA652B" w:rsidRDefault="00DA652B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DA652B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 xml:space="preserve">Declinada o Rechazada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41A81B71" w14:textId="77777777" w:rsidR="00DA652B" w:rsidRPr="00DA652B" w:rsidRDefault="00DA652B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DA652B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Pendientes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69318DD9" w14:textId="77777777" w:rsidR="00DA652B" w:rsidRPr="00DA652B" w:rsidRDefault="00DA652B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DA652B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% Cumplimiento</w:t>
            </w:r>
          </w:p>
        </w:tc>
      </w:tr>
      <w:tr w:rsidR="00DA652B" w:rsidRPr="00DA652B" w14:paraId="180761E9" w14:textId="77777777" w:rsidTr="00DA652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8B58B" w14:textId="77777777" w:rsidR="00DA652B" w:rsidRPr="00DA652B" w:rsidRDefault="00DA652B" w:rsidP="00DA652B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DA652B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Portal SAIP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957E2" w14:textId="5F0C83CD" w:rsidR="00DA652B" w:rsidRPr="00EB3876" w:rsidRDefault="00DA652B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EB3876">
              <w:rPr>
                <w:rFonts w:ascii="Calibri" w:hAnsi="Calibri" w:cs="Calibri"/>
                <w:sz w:val="20"/>
                <w:szCs w:val="20"/>
                <w:lang w:val="es-DO" w:eastAsia="es-DO"/>
              </w:rPr>
              <w:t>2</w:t>
            </w:r>
            <w:r w:rsidR="00BC61C3" w:rsidRPr="00EB3876">
              <w:rPr>
                <w:rFonts w:ascii="Calibri" w:hAnsi="Calibri" w:cs="Calibri"/>
                <w:sz w:val="20"/>
                <w:szCs w:val="20"/>
                <w:lang w:val="es-DO" w:eastAsia="es-D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D5065" w14:textId="0EEA4F71" w:rsidR="00DA652B" w:rsidRPr="00EB3876" w:rsidRDefault="00DA652B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EB3876">
              <w:rPr>
                <w:rFonts w:ascii="Calibri" w:hAnsi="Calibri" w:cs="Calibri"/>
                <w:sz w:val="20"/>
                <w:szCs w:val="20"/>
                <w:lang w:val="es-DO" w:eastAsia="es-DO"/>
              </w:rPr>
              <w:t>1</w:t>
            </w:r>
            <w:r w:rsidR="00BC61C3" w:rsidRPr="00EB3876">
              <w:rPr>
                <w:rFonts w:ascii="Calibri" w:hAnsi="Calibri" w:cs="Calibri"/>
                <w:sz w:val="20"/>
                <w:szCs w:val="20"/>
                <w:lang w:val="es-DO" w:eastAsia="es-DO"/>
              </w:rPr>
              <w:t>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41FD9E" w14:textId="3EEFDE25" w:rsidR="00DA652B" w:rsidRPr="00EB3876" w:rsidRDefault="00BC61C3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EB3876">
              <w:rPr>
                <w:rFonts w:ascii="Calibri" w:hAnsi="Calibri" w:cs="Calibri"/>
                <w:sz w:val="20"/>
                <w:szCs w:val="20"/>
                <w:lang w:val="es-DO" w:eastAsia="es-DO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B88D0" w14:textId="4EC8FD49" w:rsidR="00DA652B" w:rsidRPr="00EB3876" w:rsidRDefault="00BC61C3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EB3876">
              <w:rPr>
                <w:rFonts w:ascii="Calibri" w:hAnsi="Calibri" w:cs="Calibri"/>
                <w:sz w:val="20"/>
                <w:szCs w:val="20"/>
                <w:lang w:val="es-DO"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C7B69" w14:textId="77777777" w:rsidR="00DA652B" w:rsidRPr="00EB3876" w:rsidRDefault="00DA652B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EB3876">
              <w:rPr>
                <w:rFonts w:ascii="Calibri" w:hAnsi="Calibri" w:cs="Calibri"/>
                <w:sz w:val="20"/>
                <w:szCs w:val="20"/>
                <w:lang w:val="es-DO" w:eastAsia="es-DO"/>
              </w:rPr>
              <w:t>100%</w:t>
            </w:r>
          </w:p>
        </w:tc>
      </w:tr>
      <w:tr w:rsidR="00DA652B" w:rsidRPr="00DA652B" w14:paraId="138A168E" w14:textId="77777777" w:rsidTr="00DA652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3D75F" w14:textId="77777777" w:rsidR="00DA652B" w:rsidRPr="00DA652B" w:rsidRDefault="00DA652B" w:rsidP="00DA652B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DA652B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Otras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A4C67" w14:textId="77777777" w:rsidR="00DA652B" w:rsidRPr="00EB3876" w:rsidRDefault="00DA652B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EB3876">
              <w:rPr>
                <w:rFonts w:ascii="Calibri" w:hAnsi="Calibri" w:cs="Calibri"/>
                <w:sz w:val="20"/>
                <w:szCs w:val="20"/>
                <w:lang w:val="es-DO" w:eastAsia="es-D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1CCAF" w14:textId="77777777" w:rsidR="00DA652B" w:rsidRPr="00EB3876" w:rsidRDefault="00DA652B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EB3876">
              <w:rPr>
                <w:rFonts w:ascii="Calibri" w:hAnsi="Calibri" w:cs="Calibri"/>
                <w:sz w:val="20"/>
                <w:szCs w:val="20"/>
                <w:lang w:val="es-DO" w:eastAsia="es-DO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561111" w14:textId="77777777" w:rsidR="00DA652B" w:rsidRPr="00EB3876" w:rsidRDefault="00DA652B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EB3876">
              <w:rPr>
                <w:rFonts w:ascii="Calibri" w:hAnsi="Calibri" w:cs="Calibri"/>
                <w:sz w:val="20"/>
                <w:szCs w:val="20"/>
                <w:lang w:val="es-DO" w:eastAsia="es-D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D99B90" w14:textId="77777777" w:rsidR="00DA652B" w:rsidRPr="00EB3876" w:rsidRDefault="00DA652B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EB3876">
              <w:rPr>
                <w:rFonts w:ascii="Calibri" w:hAnsi="Calibri" w:cs="Calibri"/>
                <w:sz w:val="20"/>
                <w:szCs w:val="20"/>
                <w:lang w:val="es-DO"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18361" w14:textId="77777777" w:rsidR="00DA652B" w:rsidRPr="00EB3876" w:rsidRDefault="00DA652B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EB3876">
              <w:rPr>
                <w:rFonts w:ascii="Calibri" w:hAnsi="Calibri" w:cs="Calibri"/>
                <w:sz w:val="20"/>
                <w:szCs w:val="20"/>
                <w:lang w:val="es-DO" w:eastAsia="es-DO"/>
              </w:rPr>
              <w:t>100%</w:t>
            </w:r>
          </w:p>
        </w:tc>
      </w:tr>
      <w:tr w:rsidR="00DA652B" w:rsidRPr="00DA652B" w14:paraId="4B94FB3E" w14:textId="77777777" w:rsidTr="00DA652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008CC" w14:textId="77777777" w:rsidR="00DA652B" w:rsidRPr="00DA652B" w:rsidRDefault="00DA652B" w:rsidP="00DA652B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DA652B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AE5154" w14:textId="0C00354A" w:rsidR="00B46A3F" w:rsidRPr="00EB3876" w:rsidRDefault="00643604" w:rsidP="00B46A3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EB3876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2</w:t>
            </w:r>
            <w:r w:rsidR="00BC61C3" w:rsidRPr="00EB3876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2C77A" w14:textId="5E3DB109" w:rsidR="00B46A3F" w:rsidRPr="00EB3876" w:rsidRDefault="00B46A3F" w:rsidP="00B46A3F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EB3876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1</w:t>
            </w:r>
            <w:r w:rsidR="00BC61C3" w:rsidRPr="00EB3876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B637F" w14:textId="28BC8C3C" w:rsidR="00DA652B" w:rsidRPr="00EB3876" w:rsidRDefault="00BC61C3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EB3876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4C040" w14:textId="7C7DC027" w:rsidR="00DA652B" w:rsidRPr="00EB3876" w:rsidRDefault="00BC61C3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EB3876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02B2C" w14:textId="77777777" w:rsidR="00DA652B" w:rsidRPr="00EB3876" w:rsidRDefault="00DA652B" w:rsidP="00DA652B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EB3876">
              <w:rPr>
                <w:rFonts w:ascii="Calibri" w:hAnsi="Calibri" w:cs="Calibri"/>
                <w:sz w:val="20"/>
                <w:szCs w:val="20"/>
                <w:lang w:val="es-DO" w:eastAsia="es-DO"/>
              </w:rPr>
              <w:t>100%</w:t>
            </w:r>
          </w:p>
        </w:tc>
      </w:tr>
    </w:tbl>
    <w:p w14:paraId="3B3ED151" w14:textId="258E5367" w:rsidR="00B25A01" w:rsidRDefault="00B25A01" w:rsidP="00D279E7">
      <w:pPr>
        <w:pStyle w:val="Textoindependiente"/>
        <w:spacing w:line="360" w:lineRule="auto"/>
        <w:ind w:right="766"/>
        <w:jc w:val="both"/>
        <w:rPr>
          <w:color w:val="767070"/>
          <w:spacing w:val="13"/>
        </w:rPr>
      </w:pPr>
    </w:p>
    <w:p w14:paraId="7F99D246" w14:textId="1DA0FDED" w:rsidR="00B25A01" w:rsidRDefault="00B25A01" w:rsidP="00D279E7">
      <w:pPr>
        <w:pStyle w:val="Textoindependiente"/>
        <w:spacing w:line="360" w:lineRule="auto"/>
        <w:ind w:right="766"/>
        <w:jc w:val="both"/>
        <w:rPr>
          <w:noProof/>
        </w:rPr>
      </w:pPr>
    </w:p>
    <w:p w14:paraId="6DD3A182" w14:textId="77777777" w:rsidR="002D591B" w:rsidRDefault="002D591B" w:rsidP="00D279E7">
      <w:pPr>
        <w:pStyle w:val="Textoindependiente"/>
        <w:spacing w:line="360" w:lineRule="auto"/>
        <w:ind w:right="766"/>
        <w:jc w:val="both"/>
        <w:rPr>
          <w:noProof/>
        </w:rPr>
      </w:pPr>
    </w:p>
    <w:p w14:paraId="1137B389" w14:textId="77777777" w:rsidR="002D591B" w:rsidRDefault="002D591B" w:rsidP="00D279E7">
      <w:pPr>
        <w:pStyle w:val="Textoindependiente"/>
        <w:spacing w:line="360" w:lineRule="auto"/>
        <w:ind w:right="766"/>
        <w:jc w:val="both"/>
        <w:rPr>
          <w:noProof/>
        </w:rPr>
      </w:pPr>
    </w:p>
    <w:p w14:paraId="1950F415" w14:textId="77777777" w:rsidR="002D591B" w:rsidRDefault="002D591B" w:rsidP="00D279E7">
      <w:pPr>
        <w:pStyle w:val="Textoindependiente"/>
        <w:spacing w:line="360" w:lineRule="auto"/>
        <w:ind w:right="766"/>
        <w:jc w:val="both"/>
        <w:rPr>
          <w:noProof/>
        </w:rPr>
      </w:pPr>
    </w:p>
    <w:p w14:paraId="7CD5CE4B" w14:textId="2300914B" w:rsidR="002D591B" w:rsidRDefault="002D591B" w:rsidP="00D279E7">
      <w:pPr>
        <w:pStyle w:val="Textoindependiente"/>
        <w:spacing w:line="360" w:lineRule="auto"/>
        <w:ind w:right="766"/>
        <w:jc w:val="both"/>
        <w:rPr>
          <w:noProof/>
        </w:rPr>
      </w:pPr>
    </w:p>
    <w:p w14:paraId="1A5C5B0C" w14:textId="215A24D9" w:rsidR="002D591B" w:rsidRDefault="002D591B" w:rsidP="00D279E7">
      <w:pPr>
        <w:pStyle w:val="Textoindependiente"/>
        <w:spacing w:line="360" w:lineRule="auto"/>
        <w:ind w:right="766"/>
        <w:jc w:val="both"/>
        <w:rPr>
          <w:noProof/>
        </w:rPr>
      </w:pPr>
    </w:p>
    <w:p w14:paraId="5FAC7A81" w14:textId="6D17DCAA" w:rsidR="002D591B" w:rsidRDefault="002D591B" w:rsidP="00D279E7">
      <w:pPr>
        <w:pStyle w:val="Textoindependiente"/>
        <w:spacing w:line="360" w:lineRule="auto"/>
        <w:ind w:right="766"/>
        <w:jc w:val="both"/>
        <w:rPr>
          <w:color w:val="767070"/>
          <w:spacing w:val="13"/>
        </w:rPr>
      </w:pPr>
    </w:p>
    <w:p w14:paraId="71E480D3" w14:textId="77777777" w:rsidR="002D591B" w:rsidRDefault="002D591B" w:rsidP="00D279E7">
      <w:pPr>
        <w:pStyle w:val="Textoindependiente"/>
        <w:spacing w:line="360" w:lineRule="auto"/>
        <w:ind w:right="766"/>
        <w:jc w:val="both"/>
        <w:rPr>
          <w:color w:val="767070"/>
          <w:spacing w:val="13"/>
        </w:rPr>
      </w:pPr>
    </w:p>
    <w:p w14:paraId="34A098B2" w14:textId="569A7F1E" w:rsidR="002D591B" w:rsidRDefault="002D591B" w:rsidP="00D279E7">
      <w:pPr>
        <w:pStyle w:val="Textoindependiente"/>
        <w:spacing w:line="360" w:lineRule="auto"/>
        <w:ind w:right="766"/>
        <w:jc w:val="both"/>
        <w:rPr>
          <w:color w:val="767070"/>
          <w:spacing w:val="13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78DEC24" wp14:editId="0355CB96">
            <wp:simplePos x="0" y="0"/>
            <wp:positionH relativeFrom="margin">
              <wp:posOffset>219075</wp:posOffset>
            </wp:positionH>
            <wp:positionV relativeFrom="paragraph">
              <wp:posOffset>13335</wp:posOffset>
            </wp:positionV>
            <wp:extent cx="5391150" cy="2628900"/>
            <wp:effectExtent l="0" t="0" r="0" b="0"/>
            <wp:wrapNone/>
            <wp:docPr id="21039954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3D137" w14:textId="54B248AA" w:rsidR="002D591B" w:rsidRDefault="002D591B" w:rsidP="00D279E7">
      <w:pPr>
        <w:pStyle w:val="Textoindependiente"/>
        <w:spacing w:line="360" w:lineRule="auto"/>
        <w:ind w:right="766"/>
        <w:jc w:val="both"/>
        <w:rPr>
          <w:color w:val="767070"/>
          <w:spacing w:val="13"/>
        </w:rPr>
      </w:pPr>
    </w:p>
    <w:p w14:paraId="028D62DD" w14:textId="77777777" w:rsidR="002D591B" w:rsidRDefault="002D591B" w:rsidP="00D279E7">
      <w:pPr>
        <w:pStyle w:val="Textoindependiente"/>
        <w:spacing w:line="360" w:lineRule="auto"/>
        <w:ind w:right="766"/>
        <w:jc w:val="both"/>
        <w:rPr>
          <w:color w:val="767070"/>
          <w:spacing w:val="13"/>
        </w:rPr>
      </w:pPr>
    </w:p>
    <w:p w14:paraId="5BDABCD8" w14:textId="4F20D565" w:rsidR="00B25A01" w:rsidRDefault="00B25A01" w:rsidP="00D279E7">
      <w:pPr>
        <w:pStyle w:val="Textoindependiente"/>
        <w:spacing w:line="360" w:lineRule="auto"/>
        <w:ind w:right="766"/>
        <w:jc w:val="both"/>
        <w:rPr>
          <w:color w:val="767070"/>
          <w:spacing w:val="13"/>
        </w:rPr>
      </w:pPr>
    </w:p>
    <w:p w14:paraId="136A9954" w14:textId="078FA8B1" w:rsidR="00B25A01" w:rsidRDefault="00B25A01" w:rsidP="00D279E7">
      <w:pPr>
        <w:pStyle w:val="Textoindependiente"/>
        <w:spacing w:line="360" w:lineRule="auto"/>
        <w:ind w:right="766"/>
        <w:jc w:val="both"/>
        <w:rPr>
          <w:color w:val="767070"/>
          <w:spacing w:val="13"/>
        </w:rPr>
      </w:pPr>
    </w:p>
    <w:p w14:paraId="4C2D4FF7" w14:textId="62B86377" w:rsidR="00B25A01" w:rsidRDefault="00B25A01" w:rsidP="00D279E7">
      <w:pPr>
        <w:pStyle w:val="Textoindependiente"/>
        <w:spacing w:line="360" w:lineRule="auto"/>
        <w:ind w:right="766"/>
        <w:jc w:val="both"/>
        <w:rPr>
          <w:color w:val="767070"/>
          <w:spacing w:val="13"/>
        </w:rPr>
      </w:pPr>
    </w:p>
    <w:p w14:paraId="14EE99FE" w14:textId="74E106D4" w:rsidR="00B25A01" w:rsidRDefault="00B25A01" w:rsidP="00D279E7">
      <w:pPr>
        <w:pStyle w:val="Textoindependiente"/>
        <w:spacing w:line="360" w:lineRule="auto"/>
        <w:ind w:right="766"/>
        <w:jc w:val="both"/>
        <w:rPr>
          <w:color w:val="767070"/>
          <w:spacing w:val="13"/>
        </w:rPr>
      </w:pPr>
    </w:p>
    <w:p w14:paraId="7722EEC6" w14:textId="5CE2E643" w:rsidR="006B53E0" w:rsidRDefault="006B53E0" w:rsidP="00D279E7">
      <w:pPr>
        <w:pStyle w:val="Textoindependiente"/>
        <w:spacing w:line="360" w:lineRule="auto"/>
        <w:ind w:right="766"/>
        <w:jc w:val="both"/>
        <w:rPr>
          <w:color w:val="767070"/>
          <w:spacing w:val="13"/>
        </w:rPr>
      </w:pPr>
    </w:p>
    <w:p w14:paraId="122F2129" w14:textId="321FDF62" w:rsidR="006B53E0" w:rsidRDefault="006B53E0" w:rsidP="004A0971">
      <w:pPr>
        <w:pStyle w:val="Textoindependiente"/>
        <w:spacing w:line="360" w:lineRule="auto"/>
        <w:ind w:left="642" w:right="766"/>
        <w:jc w:val="both"/>
        <w:rPr>
          <w:color w:val="767070"/>
          <w:spacing w:val="13"/>
        </w:rPr>
      </w:pPr>
    </w:p>
    <w:p w14:paraId="4E7358FF" w14:textId="13461C94" w:rsidR="00BC61C3" w:rsidRDefault="00BC61C3" w:rsidP="004A0971">
      <w:pPr>
        <w:pStyle w:val="Textoindependiente"/>
        <w:spacing w:line="360" w:lineRule="auto"/>
        <w:ind w:left="642" w:right="766"/>
        <w:jc w:val="both"/>
        <w:rPr>
          <w:color w:val="767070"/>
          <w:spacing w:val="13"/>
        </w:rPr>
      </w:pPr>
    </w:p>
    <w:p w14:paraId="7E46EA98" w14:textId="77417FD6" w:rsidR="00A83D9B" w:rsidRDefault="00A83D9B" w:rsidP="00A83D9B">
      <w:pPr>
        <w:pStyle w:val="Textoindependiente"/>
        <w:spacing w:before="6"/>
        <w:rPr>
          <w:sz w:val="20"/>
        </w:rPr>
      </w:pPr>
    </w:p>
    <w:p w14:paraId="4B555D96" w14:textId="77777777" w:rsidR="002D591B" w:rsidRDefault="002D591B" w:rsidP="002D591B">
      <w:pPr>
        <w:tabs>
          <w:tab w:val="left" w:pos="1439"/>
        </w:tabs>
        <w:rPr>
          <w:b/>
          <w:sz w:val="24"/>
        </w:rPr>
      </w:pPr>
      <w:bookmarkStart w:id="0" w:name="_bookmark11"/>
      <w:bookmarkEnd w:id="0"/>
    </w:p>
    <w:p w14:paraId="03E403EB" w14:textId="77777777" w:rsidR="002D591B" w:rsidRPr="002D591B" w:rsidRDefault="002D591B" w:rsidP="002D591B">
      <w:pPr>
        <w:tabs>
          <w:tab w:val="left" w:pos="1439"/>
        </w:tabs>
        <w:rPr>
          <w:b/>
          <w:sz w:val="24"/>
        </w:rPr>
      </w:pPr>
    </w:p>
    <w:p w14:paraId="01A2C1DC" w14:textId="5DDEE71E" w:rsidR="00A83D9B" w:rsidRPr="00ED6F8C" w:rsidRDefault="00A83D9B" w:rsidP="00A83D9B">
      <w:pPr>
        <w:pStyle w:val="Prrafodelista"/>
        <w:numPr>
          <w:ilvl w:val="1"/>
          <w:numId w:val="1"/>
        </w:numPr>
        <w:tabs>
          <w:tab w:val="left" w:pos="1439"/>
        </w:tabs>
        <w:ind w:left="1438"/>
        <w:jc w:val="left"/>
        <w:rPr>
          <w:b/>
          <w:sz w:val="24"/>
        </w:rPr>
      </w:pPr>
      <w:r w:rsidRPr="00ED6F8C">
        <w:rPr>
          <w:b/>
          <w:color w:val="766F6F"/>
          <w:spacing w:val="14"/>
          <w:sz w:val="24"/>
        </w:rPr>
        <w:t>Resultados</w:t>
      </w:r>
      <w:r w:rsidRPr="00ED6F8C">
        <w:rPr>
          <w:b/>
          <w:color w:val="766F6F"/>
          <w:spacing w:val="48"/>
          <w:sz w:val="24"/>
        </w:rPr>
        <w:t xml:space="preserve"> </w:t>
      </w:r>
      <w:r w:rsidRPr="00ED6F8C">
        <w:rPr>
          <w:b/>
          <w:color w:val="766F6F"/>
          <w:spacing w:val="14"/>
          <w:sz w:val="24"/>
        </w:rPr>
        <w:t>del</w:t>
      </w:r>
      <w:r w:rsidRPr="00ED6F8C">
        <w:rPr>
          <w:b/>
          <w:color w:val="766F6F"/>
          <w:spacing w:val="44"/>
          <w:sz w:val="24"/>
        </w:rPr>
        <w:t xml:space="preserve"> </w:t>
      </w:r>
      <w:r w:rsidRPr="00ED6F8C">
        <w:rPr>
          <w:b/>
          <w:color w:val="766F6F"/>
          <w:spacing w:val="10"/>
          <w:sz w:val="24"/>
        </w:rPr>
        <w:t>sistema</w:t>
      </w:r>
      <w:r w:rsidRPr="00ED6F8C">
        <w:rPr>
          <w:b/>
          <w:color w:val="766F6F"/>
          <w:spacing w:val="49"/>
          <w:sz w:val="24"/>
        </w:rPr>
        <w:t xml:space="preserve"> </w:t>
      </w:r>
      <w:r w:rsidRPr="00ED6F8C">
        <w:rPr>
          <w:b/>
          <w:color w:val="766F6F"/>
          <w:sz w:val="24"/>
        </w:rPr>
        <w:t>de</w:t>
      </w:r>
      <w:r w:rsidRPr="00ED6F8C">
        <w:rPr>
          <w:b/>
          <w:color w:val="766F6F"/>
          <w:spacing w:val="34"/>
          <w:sz w:val="24"/>
        </w:rPr>
        <w:t xml:space="preserve"> </w:t>
      </w:r>
      <w:r w:rsidRPr="00ED6F8C">
        <w:rPr>
          <w:b/>
          <w:color w:val="766F6F"/>
          <w:spacing w:val="11"/>
          <w:sz w:val="24"/>
        </w:rPr>
        <w:t>Quejas,</w:t>
      </w:r>
      <w:r w:rsidRPr="00ED6F8C">
        <w:rPr>
          <w:b/>
          <w:color w:val="766F6F"/>
          <w:spacing w:val="50"/>
          <w:sz w:val="24"/>
        </w:rPr>
        <w:t xml:space="preserve"> </w:t>
      </w:r>
      <w:r w:rsidRPr="00ED6F8C">
        <w:rPr>
          <w:b/>
          <w:color w:val="766F6F"/>
          <w:spacing w:val="11"/>
          <w:sz w:val="24"/>
        </w:rPr>
        <w:t>Reclamos</w:t>
      </w:r>
      <w:r w:rsidRPr="00ED6F8C">
        <w:rPr>
          <w:b/>
          <w:color w:val="766F6F"/>
          <w:spacing w:val="49"/>
          <w:sz w:val="24"/>
        </w:rPr>
        <w:t xml:space="preserve"> </w:t>
      </w:r>
      <w:r w:rsidRPr="00ED6F8C">
        <w:rPr>
          <w:b/>
          <w:color w:val="766F6F"/>
          <w:sz w:val="24"/>
        </w:rPr>
        <w:t>y</w:t>
      </w:r>
      <w:r w:rsidRPr="00ED6F8C">
        <w:rPr>
          <w:b/>
          <w:color w:val="766F6F"/>
          <w:spacing w:val="34"/>
          <w:sz w:val="24"/>
        </w:rPr>
        <w:t xml:space="preserve"> </w:t>
      </w:r>
      <w:r w:rsidRPr="00ED6F8C">
        <w:rPr>
          <w:b/>
          <w:color w:val="766F6F"/>
          <w:spacing w:val="11"/>
          <w:sz w:val="24"/>
        </w:rPr>
        <w:t>Sugerencias</w:t>
      </w:r>
    </w:p>
    <w:p w14:paraId="5BF3B31E" w14:textId="77777777" w:rsidR="00A83D9B" w:rsidRPr="00ED6F8C" w:rsidRDefault="00A83D9B" w:rsidP="00A83D9B">
      <w:pPr>
        <w:pStyle w:val="Textoindependiente"/>
        <w:rPr>
          <w:b/>
          <w:sz w:val="26"/>
        </w:rPr>
      </w:pPr>
    </w:p>
    <w:p w14:paraId="2F2B6775" w14:textId="77777777" w:rsidR="00A83D9B" w:rsidRDefault="00A83D9B" w:rsidP="00A83D9B">
      <w:pPr>
        <w:pStyle w:val="Textoindependiente"/>
        <w:spacing w:before="6"/>
        <w:rPr>
          <w:sz w:val="20"/>
        </w:rPr>
      </w:pPr>
    </w:p>
    <w:p w14:paraId="02A1C40D" w14:textId="3BABC429" w:rsidR="00643604" w:rsidRDefault="002D591B" w:rsidP="0087477C">
      <w:pPr>
        <w:pStyle w:val="Textoindependiente"/>
        <w:spacing w:line="364" w:lineRule="auto"/>
        <w:ind w:left="642" w:right="787"/>
        <w:jc w:val="both"/>
        <w:rPr>
          <w:color w:val="767070"/>
          <w:spacing w:val="11"/>
        </w:rPr>
      </w:pPr>
      <w:r w:rsidRPr="002D591B">
        <w:rPr>
          <w:color w:val="767070"/>
        </w:rPr>
        <w:t>En este año 2025, el Acuario Nacional logró un promedio de cumplimiento de 86.5% de la gestión de respuestas a las quejas, denuncias y sugerencias, las cuales se detallan a continuación: 0 denuncias recibidas por el sistema 311, 4 por el buzón físico de quejas y sugerencias y 64 través del código QR para las Quejas y sugerencias. Ver tabla.</w:t>
      </w:r>
    </w:p>
    <w:tbl>
      <w:tblPr>
        <w:tblpPr w:leftFromText="141" w:rightFromText="141" w:vertAnchor="text" w:horzAnchor="margin" w:tblpX="279" w:tblpY="300"/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056"/>
        <w:gridCol w:w="1069"/>
        <w:gridCol w:w="2219"/>
        <w:gridCol w:w="1276"/>
        <w:gridCol w:w="1559"/>
      </w:tblGrid>
      <w:tr w:rsidR="00643604" w:rsidRPr="00643604" w14:paraId="755EB393" w14:textId="77777777" w:rsidTr="00643604">
        <w:trPr>
          <w:trHeight w:val="246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B9BD5"/>
            <w:noWrap/>
            <w:vAlign w:val="bottom"/>
            <w:hideMark/>
          </w:tcPr>
          <w:p w14:paraId="42208A19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FFFFFF"/>
                <w:lang w:val="es-DO" w:eastAsia="es-DO"/>
              </w:rPr>
            </w:pPr>
            <w:r w:rsidRPr="00643604">
              <w:rPr>
                <w:rFonts w:ascii="Calibri" w:hAnsi="Calibri" w:cs="Calibri"/>
                <w:color w:val="FFFFFF"/>
                <w:lang w:val="es-DO" w:eastAsia="es-DO"/>
              </w:rPr>
              <w:t>Resultados del sistema de Quejas, Reclamos y Sugerencias</w:t>
            </w:r>
          </w:p>
        </w:tc>
      </w:tr>
      <w:tr w:rsidR="00643604" w:rsidRPr="00643604" w14:paraId="3E8C0B79" w14:textId="77777777" w:rsidTr="00643604">
        <w:trPr>
          <w:trHeight w:val="258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4D1C0E14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 xml:space="preserve">Medios 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485502E3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Recibidas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005C8E58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Resueltas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79CD6B34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 xml:space="preserve">Declinada o Rechazada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5896B4A8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Pendientes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289D888B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% Cumplimiento</w:t>
            </w:r>
          </w:p>
        </w:tc>
      </w:tr>
      <w:tr w:rsidR="00643604" w:rsidRPr="00643604" w14:paraId="23719A9D" w14:textId="77777777" w:rsidTr="00643604">
        <w:trPr>
          <w:trHeight w:val="258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0E5AB" w14:textId="77777777" w:rsidR="00643604" w:rsidRPr="00643604" w:rsidRDefault="00643604" w:rsidP="006436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Sistema 311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79A40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sz w:val="20"/>
                <w:szCs w:val="20"/>
                <w:lang w:val="es-DO" w:eastAsia="es-DO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056DE2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sz w:val="20"/>
                <w:szCs w:val="20"/>
                <w:lang w:val="es-DO" w:eastAsia="es-DO"/>
              </w:rPr>
              <w:t>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52867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sz w:val="20"/>
                <w:szCs w:val="20"/>
                <w:lang w:val="es-DO" w:eastAsia="es-DO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BE531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sz w:val="20"/>
                <w:szCs w:val="20"/>
                <w:lang w:val="es-DO"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44040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sz w:val="20"/>
                <w:szCs w:val="20"/>
                <w:lang w:val="es-DO" w:eastAsia="es-DO"/>
              </w:rPr>
              <w:t>100%</w:t>
            </w:r>
          </w:p>
        </w:tc>
      </w:tr>
      <w:tr w:rsidR="00643604" w:rsidRPr="00643604" w14:paraId="1C0B285D" w14:textId="77777777" w:rsidTr="00643604">
        <w:trPr>
          <w:trHeight w:val="258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537D3" w14:textId="450ACDAB" w:rsidR="00643604" w:rsidRPr="00643604" w:rsidRDefault="00643604" w:rsidP="006436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 xml:space="preserve">Buzón Físico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B7BBB" w14:textId="3D075721" w:rsidR="00643604" w:rsidRPr="00643604" w:rsidRDefault="00A7429C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>
              <w:rPr>
                <w:rFonts w:ascii="Calibri" w:hAnsi="Calibri" w:cs="Calibri"/>
                <w:sz w:val="20"/>
                <w:szCs w:val="20"/>
                <w:lang w:val="es-DO" w:eastAsia="es-DO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6AC39" w14:textId="670C9FD3" w:rsidR="00643604" w:rsidRPr="00643604" w:rsidRDefault="00A7429C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>
              <w:rPr>
                <w:rFonts w:ascii="Calibri" w:hAnsi="Calibri" w:cs="Calibri"/>
                <w:sz w:val="20"/>
                <w:szCs w:val="20"/>
                <w:lang w:val="es-DO" w:eastAsia="es-DO"/>
              </w:rPr>
              <w:t>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9C0C6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sz w:val="20"/>
                <w:szCs w:val="20"/>
                <w:lang w:val="es-DO" w:eastAsia="es-DO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5635E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sz w:val="20"/>
                <w:szCs w:val="20"/>
                <w:lang w:val="es-DO"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1D528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sz w:val="20"/>
                <w:szCs w:val="20"/>
                <w:lang w:val="es-DO" w:eastAsia="es-DO"/>
              </w:rPr>
              <w:t>100%</w:t>
            </w:r>
          </w:p>
        </w:tc>
      </w:tr>
      <w:tr w:rsidR="00643604" w:rsidRPr="00643604" w14:paraId="5EFB400B" w14:textId="77777777" w:rsidTr="00643604">
        <w:trPr>
          <w:trHeight w:val="258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8408A" w14:textId="77777777" w:rsidR="00643604" w:rsidRPr="00643604" w:rsidRDefault="00643604" w:rsidP="006436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b/>
                <w:bCs/>
                <w:sz w:val="20"/>
                <w:szCs w:val="20"/>
                <w:lang w:eastAsia="es-DO"/>
              </w:rPr>
              <w:t>Formulario QR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0D64A" w14:textId="54EFDDAA" w:rsidR="00643604" w:rsidRPr="00643604" w:rsidRDefault="0087477C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>
              <w:rPr>
                <w:rFonts w:ascii="Calibri" w:hAnsi="Calibri" w:cs="Calibri"/>
                <w:sz w:val="20"/>
                <w:szCs w:val="20"/>
                <w:lang w:val="es-DO" w:eastAsia="es-DO"/>
              </w:rPr>
              <w:t>6</w:t>
            </w:r>
            <w:r w:rsidR="00A7429C">
              <w:rPr>
                <w:rFonts w:ascii="Calibri" w:hAnsi="Calibri" w:cs="Calibri"/>
                <w:sz w:val="20"/>
                <w:szCs w:val="20"/>
                <w:lang w:val="es-DO" w:eastAsia="es-DO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97493" w14:textId="131942AA" w:rsidR="00643604" w:rsidRPr="00643604" w:rsidRDefault="00E620D5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>
              <w:rPr>
                <w:rFonts w:ascii="Calibri" w:hAnsi="Calibri" w:cs="Calibri"/>
                <w:sz w:val="20"/>
                <w:szCs w:val="20"/>
                <w:lang w:val="es-DO" w:eastAsia="es-DO"/>
              </w:rPr>
              <w:t>52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A253C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sz w:val="20"/>
                <w:szCs w:val="20"/>
                <w:lang w:val="es-DO" w:eastAsia="es-DO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53561F" w14:textId="62AF3C9F" w:rsidR="00643604" w:rsidRPr="00643604" w:rsidRDefault="00E620D5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>
              <w:rPr>
                <w:rFonts w:ascii="Calibri" w:hAnsi="Calibri" w:cs="Calibri"/>
                <w:sz w:val="20"/>
                <w:szCs w:val="20"/>
                <w:lang w:val="es-DO" w:eastAsia="es-DO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BCFAE" w14:textId="5188BA5F" w:rsidR="00643604" w:rsidRPr="00643604" w:rsidRDefault="006C2EA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6C2EA4">
              <w:rPr>
                <w:rFonts w:ascii="Calibri" w:hAnsi="Calibri" w:cs="Calibri"/>
                <w:sz w:val="20"/>
                <w:szCs w:val="20"/>
                <w:lang w:val="es-DO" w:eastAsia="es-DO"/>
              </w:rPr>
              <w:t>76%</w:t>
            </w:r>
          </w:p>
        </w:tc>
      </w:tr>
      <w:tr w:rsidR="00643604" w:rsidRPr="00643604" w14:paraId="683CBFF2" w14:textId="77777777" w:rsidTr="00643604">
        <w:trPr>
          <w:trHeight w:val="258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4CD52" w14:textId="77777777" w:rsidR="00643604" w:rsidRPr="00643604" w:rsidRDefault="00643604" w:rsidP="006436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Correos/Otras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D5AF22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sz w:val="20"/>
                <w:szCs w:val="20"/>
                <w:lang w:val="es-DO" w:eastAsia="es-DO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C9E37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sz w:val="20"/>
                <w:szCs w:val="20"/>
                <w:lang w:val="es-DO" w:eastAsia="es-DO"/>
              </w:rPr>
              <w:t>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3E8F48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sz w:val="20"/>
                <w:szCs w:val="20"/>
                <w:lang w:val="es-DO" w:eastAsia="es-DO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B74D5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sz w:val="20"/>
                <w:szCs w:val="20"/>
                <w:lang w:val="es-DO" w:eastAsia="es-DO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DC148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sz w:val="20"/>
                <w:szCs w:val="20"/>
                <w:lang w:val="es-DO" w:eastAsia="es-DO"/>
              </w:rPr>
              <w:t>100%</w:t>
            </w:r>
          </w:p>
        </w:tc>
      </w:tr>
      <w:tr w:rsidR="00643604" w:rsidRPr="00643604" w14:paraId="6C0C65F8" w14:textId="77777777" w:rsidTr="00643604">
        <w:trPr>
          <w:trHeight w:val="258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C8A1E" w14:textId="77777777" w:rsidR="00643604" w:rsidRPr="00643604" w:rsidRDefault="00643604" w:rsidP="006436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Total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B8D9E" w14:textId="2A8FB4A0" w:rsidR="00643604" w:rsidRPr="00643604" w:rsidRDefault="00A7429C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74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4D5D1" w14:textId="05CD9987" w:rsidR="00643604" w:rsidRPr="00643604" w:rsidRDefault="00A7429C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5</w:t>
            </w:r>
            <w:r w:rsidR="00E620D5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8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B90A9" w14:textId="77777777" w:rsidR="00643604" w:rsidRPr="00643604" w:rsidRDefault="00643604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 w:rsidRPr="00643604"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98626" w14:textId="0AC9FACE" w:rsidR="00643604" w:rsidRPr="00643604" w:rsidRDefault="00E620D5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DO" w:eastAsia="es-DO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C4914" w14:textId="2C4DDAFA" w:rsidR="00643604" w:rsidRPr="00643604" w:rsidRDefault="00C752E8" w:rsidP="00643604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val="es-DO" w:eastAsia="es-DO"/>
              </w:rPr>
            </w:pPr>
            <w:r>
              <w:rPr>
                <w:rFonts w:ascii="Calibri" w:hAnsi="Calibri" w:cs="Calibri"/>
                <w:sz w:val="20"/>
                <w:szCs w:val="20"/>
                <w:lang w:val="es-DO" w:eastAsia="es-DO"/>
              </w:rPr>
              <w:t>94</w:t>
            </w:r>
            <w:r w:rsidRPr="00643604">
              <w:rPr>
                <w:rFonts w:ascii="Calibri" w:hAnsi="Calibri" w:cs="Calibri"/>
                <w:sz w:val="20"/>
                <w:szCs w:val="20"/>
                <w:lang w:val="es-DO" w:eastAsia="es-DO"/>
              </w:rPr>
              <w:t>%</w:t>
            </w:r>
          </w:p>
        </w:tc>
      </w:tr>
    </w:tbl>
    <w:p w14:paraId="4162FE77" w14:textId="77777777" w:rsidR="00DA652B" w:rsidRDefault="00DA652B" w:rsidP="00B25A01">
      <w:pPr>
        <w:pStyle w:val="Textoindependiente"/>
        <w:spacing w:line="364" w:lineRule="auto"/>
        <w:ind w:left="642" w:right="787"/>
        <w:jc w:val="both"/>
        <w:rPr>
          <w:color w:val="767070"/>
          <w:spacing w:val="11"/>
        </w:rPr>
      </w:pPr>
    </w:p>
    <w:p w14:paraId="520059E6" w14:textId="77777777" w:rsidR="00643604" w:rsidRPr="002E04C3" w:rsidRDefault="00643604" w:rsidP="00B25A01">
      <w:pPr>
        <w:pStyle w:val="Textoindependiente"/>
        <w:spacing w:line="364" w:lineRule="auto"/>
        <w:ind w:left="642" w:right="787"/>
        <w:jc w:val="both"/>
        <w:rPr>
          <w:color w:val="767070"/>
          <w:spacing w:val="11"/>
          <w:lang w:val="en-US"/>
        </w:rPr>
      </w:pPr>
    </w:p>
    <w:p w14:paraId="745DAD20" w14:textId="315FB88A" w:rsidR="00DA652B" w:rsidRDefault="00B37F3E" w:rsidP="0087477C">
      <w:pPr>
        <w:pStyle w:val="Textoindependiente"/>
        <w:spacing w:line="364" w:lineRule="auto"/>
        <w:ind w:right="787" w:firstLine="1134"/>
        <w:jc w:val="both"/>
        <w:rPr>
          <w:color w:val="767070"/>
          <w:spacing w:val="11"/>
        </w:rPr>
      </w:pPr>
      <w:r>
        <w:rPr>
          <w:noProof/>
        </w:rPr>
        <w:lastRenderedPageBreak/>
        <w:drawing>
          <wp:inline distT="0" distB="0" distL="0" distR="0" wp14:anchorId="40375D80" wp14:editId="01BD0BB1">
            <wp:extent cx="4158532" cy="2401293"/>
            <wp:effectExtent l="0" t="0" r="13970" b="18415"/>
            <wp:docPr id="173591054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BE41370-50D0-A732-876B-6A1620F9E2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870D4CD" w14:textId="77777777" w:rsidR="00643604" w:rsidRDefault="00643604" w:rsidP="00D279E7">
      <w:pPr>
        <w:pStyle w:val="Textoindependiente"/>
        <w:spacing w:line="364" w:lineRule="auto"/>
        <w:ind w:right="787"/>
        <w:jc w:val="both"/>
        <w:rPr>
          <w:color w:val="767070"/>
          <w:spacing w:val="11"/>
        </w:rPr>
      </w:pPr>
    </w:p>
    <w:p w14:paraId="25625073" w14:textId="77777777" w:rsidR="00772979" w:rsidRDefault="00772979" w:rsidP="00772979">
      <w:pPr>
        <w:pStyle w:val="Textoindependiente"/>
        <w:spacing w:line="364" w:lineRule="auto"/>
        <w:ind w:left="642" w:right="787"/>
        <w:jc w:val="both"/>
        <w:rPr>
          <w:color w:val="767070"/>
          <w:spacing w:val="11"/>
        </w:rPr>
      </w:pPr>
      <w:r w:rsidRPr="00772979">
        <w:rPr>
          <w:color w:val="767070"/>
          <w:spacing w:val="11"/>
        </w:rPr>
        <w:t>1.3</w:t>
      </w:r>
      <w:r w:rsidRPr="00772979">
        <w:rPr>
          <w:color w:val="767070"/>
          <w:spacing w:val="11"/>
        </w:rPr>
        <w:tab/>
        <w:t>Resultados de medicio</w:t>
      </w:r>
      <w:r>
        <w:rPr>
          <w:color w:val="767070"/>
          <w:spacing w:val="11"/>
        </w:rPr>
        <w:t>nes del Portal de Transparencia</w:t>
      </w:r>
    </w:p>
    <w:p w14:paraId="47B51907" w14:textId="77777777" w:rsidR="00772979" w:rsidRPr="00772979" w:rsidRDefault="00772979" w:rsidP="00772979">
      <w:pPr>
        <w:pStyle w:val="Textoindependiente"/>
        <w:spacing w:line="364" w:lineRule="auto"/>
        <w:ind w:left="642" w:right="787"/>
        <w:jc w:val="both"/>
        <w:rPr>
          <w:color w:val="767070"/>
          <w:spacing w:val="11"/>
        </w:rPr>
      </w:pPr>
    </w:p>
    <w:p w14:paraId="098E05CD" w14:textId="58636428" w:rsidR="00772979" w:rsidRDefault="00772979" w:rsidP="00772979">
      <w:pPr>
        <w:pStyle w:val="Textoindependiente"/>
        <w:spacing w:line="364" w:lineRule="auto"/>
        <w:ind w:left="642" w:right="787"/>
        <w:jc w:val="both"/>
        <w:rPr>
          <w:color w:val="767070"/>
          <w:spacing w:val="11"/>
        </w:rPr>
      </w:pPr>
      <w:r w:rsidRPr="00092B94">
        <w:rPr>
          <w:color w:val="767070"/>
          <w:spacing w:val="11"/>
        </w:rPr>
        <w:t>La Institución ha cumplido durante este año 202</w:t>
      </w:r>
      <w:r w:rsidR="00B25A01">
        <w:rPr>
          <w:color w:val="767070"/>
          <w:spacing w:val="11"/>
        </w:rPr>
        <w:t>5</w:t>
      </w:r>
      <w:r w:rsidRPr="00092B94">
        <w:rPr>
          <w:color w:val="767070"/>
          <w:spacing w:val="11"/>
        </w:rPr>
        <w:t xml:space="preserve"> con la publicación en el portal de Transparencia, </w:t>
      </w:r>
      <w:r w:rsidR="002E463D" w:rsidRPr="002E463D">
        <w:rPr>
          <w:color w:val="767070"/>
          <w:spacing w:val="11"/>
        </w:rPr>
        <w:t>a los entes públicos, de las cuales</w:t>
      </w:r>
      <w:r w:rsidRPr="00092B94">
        <w:rPr>
          <w:color w:val="767070"/>
          <w:spacing w:val="11"/>
        </w:rPr>
        <w:t>, la Dirección General de Ética e Integridad Gubernamental (DIGEIG), ha evaluado, hasta el momento, el año 202</w:t>
      </w:r>
      <w:r w:rsidR="002E463D">
        <w:rPr>
          <w:color w:val="767070"/>
          <w:spacing w:val="11"/>
        </w:rPr>
        <w:t>5</w:t>
      </w:r>
      <w:r w:rsidRPr="00092B94">
        <w:rPr>
          <w:color w:val="767070"/>
          <w:spacing w:val="11"/>
        </w:rPr>
        <w:t>, obteniendo una calificación promedio d</w:t>
      </w:r>
      <w:r w:rsidR="002E463D">
        <w:rPr>
          <w:color w:val="767070"/>
          <w:spacing w:val="11"/>
        </w:rPr>
        <w:t>e 9</w:t>
      </w:r>
      <w:r w:rsidR="00EB3876">
        <w:rPr>
          <w:color w:val="767070"/>
          <w:spacing w:val="11"/>
        </w:rPr>
        <w:t>7</w:t>
      </w:r>
      <w:r w:rsidR="002E463D">
        <w:rPr>
          <w:color w:val="767070"/>
          <w:spacing w:val="11"/>
        </w:rPr>
        <w:t>.</w:t>
      </w:r>
      <w:r w:rsidR="00EB3876">
        <w:rPr>
          <w:color w:val="767070"/>
          <w:spacing w:val="11"/>
        </w:rPr>
        <w:t>97</w:t>
      </w:r>
      <w:r w:rsidR="002E463D">
        <w:rPr>
          <w:color w:val="767070"/>
          <w:spacing w:val="11"/>
        </w:rPr>
        <w:t xml:space="preserve">% </w:t>
      </w:r>
      <w:r w:rsidRPr="00092B94">
        <w:rPr>
          <w:color w:val="767070"/>
          <w:spacing w:val="11"/>
        </w:rPr>
        <w:t>puntos en este año, correspondiente a una calificación de 9</w:t>
      </w:r>
      <w:r w:rsidR="00EB3876">
        <w:rPr>
          <w:color w:val="767070"/>
          <w:spacing w:val="11"/>
        </w:rPr>
        <w:t>7</w:t>
      </w:r>
      <w:r w:rsidRPr="00092B94">
        <w:rPr>
          <w:color w:val="767070"/>
          <w:spacing w:val="11"/>
        </w:rPr>
        <w:t>.</w:t>
      </w:r>
      <w:r w:rsidR="002E463D">
        <w:rPr>
          <w:color w:val="767070"/>
          <w:spacing w:val="11"/>
        </w:rPr>
        <w:t>03</w:t>
      </w:r>
      <w:r w:rsidRPr="00092B94">
        <w:rPr>
          <w:color w:val="767070"/>
          <w:spacing w:val="11"/>
        </w:rPr>
        <w:t xml:space="preserve"> de 100 en enero,</w:t>
      </w:r>
      <w:r w:rsidR="00EA37AE" w:rsidRPr="00092B94">
        <w:rPr>
          <w:color w:val="767070"/>
          <w:spacing w:val="11"/>
        </w:rPr>
        <w:t xml:space="preserve"> 9</w:t>
      </w:r>
      <w:r w:rsidR="002E463D">
        <w:rPr>
          <w:color w:val="767070"/>
          <w:spacing w:val="11"/>
        </w:rPr>
        <w:t>8.03</w:t>
      </w:r>
      <w:r w:rsidR="00EA37AE" w:rsidRPr="00092B94">
        <w:rPr>
          <w:color w:val="767070"/>
          <w:spacing w:val="11"/>
        </w:rPr>
        <w:t xml:space="preserve"> en febrero y 99.</w:t>
      </w:r>
      <w:r w:rsidR="002E463D">
        <w:rPr>
          <w:color w:val="767070"/>
          <w:spacing w:val="11"/>
        </w:rPr>
        <w:t>27</w:t>
      </w:r>
      <w:r w:rsidR="00EA37AE" w:rsidRPr="00092B94">
        <w:rPr>
          <w:color w:val="767070"/>
          <w:spacing w:val="11"/>
        </w:rPr>
        <w:t xml:space="preserve"> en</w:t>
      </w:r>
      <w:r w:rsidRPr="00092B94">
        <w:rPr>
          <w:color w:val="767070"/>
          <w:spacing w:val="11"/>
        </w:rPr>
        <w:t xml:space="preserve"> marzo, 9</w:t>
      </w:r>
      <w:r w:rsidR="002E463D">
        <w:rPr>
          <w:color w:val="767070"/>
          <w:spacing w:val="11"/>
        </w:rPr>
        <w:t>9</w:t>
      </w:r>
      <w:r w:rsidRPr="00092B94">
        <w:rPr>
          <w:color w:val="767070"/>
          <w:spacing w:val="11"/>
        </w:rPr>
        <w:t>.</w:t>
      </w:r>
      <w:r w:rsidR="002E463D">
        <w:rPr>
          <w:color w:val="767070"/>
          <w:spacing w:val="11"/>
        </w:rPr>
        <w:t>93</w:t>
      </w:r>
      <w:r w:rsidRPr="00092B94">
        <w:rPr>
          <w:color w:val="767070"/>
          <w:spacing w:val="11"/>
        </w:rPr>
        <w:t xml:space="preserve"> en abril,</w:t>
      </w:r>
      <w:r w:rsidR="00EA37AE" w:rsidRPr="00092B94">
        <w:rPr>
          <w:color w:val="767070"/>
          <w:spacing w:val="11"/>
        </w:rPr>
        <w:t xml:space="preserve"> 99.</w:t>
      </w:r>
      <w:r w:rsidR="002E463D">
        <w:rPr>
          <w:color w:val="767070"/>
          <w:spacing w:val="11"/>
        </w:rPr>
        <w:t>93</w:t>
      </w:r>
      <w:r w:rsidRPr="00092B94">
        <w:rPr>
          <w:color w:val="767070"/>
          <w:spacing w:val="11"/>
        </w:rPr>
        <w:t xml:space="preserve"> en mayo, </w:t>
      </w:r>
      <w:r w:rsidR="00EA37AE" w:rsidRPr="00092B94">
        <w:rPr>
          <w:color w:val="767070"/>
          <w:spacing w:val="11"/>
        </w:rPr>
        <w:t>9</w:t>
      </w:r>
      <w:r w:rsidR="002E463D">
        <w:rPr>
          <w:color w:val="767070"/>
          <w:spacing w:val="11"/>
        </w:rPr>
        <w:t>9</w:t>
      </w:r>
      <w:r w:rsidR="00EA37AE" w:rsidRPr="00092B94">
        <w:rPr>
          <w:color w:val="767070"/>
          <w:spacing w:val="11"/>
        </w:rPr>
        <w:t>.</w:t>
      </w:r>
      <w:r w:rsidR="002E463D">
        <w:rPr>
          <w:color w:val="767070"/>
          <w:spacing w:val="11"/>
        </w:rPr>
        <w:t>93</w:t>
      </w:r>
      <w:r w:rsidR="00EA37AE" w:rsidRPr="00092B94">
        <w:rPr>
          <w:color w:val="767070"/>
          <w:spacing w:val="11"/>
        </w:rPr>
        <w:t xml:space="preserve"> en junio, 98.4</w:t>
      </w:r>
      <w:r w:rsidR="002E463D">
        <w:rPr>
          <w:color w:val="767070"/>
          <w:spacing w:val="11"/>
        </w:rPr>
        <w:t>6</w:t>
      </w:r>
      <w:r w:rsidR="00EA37AE" w:rsidRPr="00092B94">
        <w:rPr>
          <w:color w:val="767070"/>
          <w:spacing w:val="11"/>
        </w:rPr>
        <w:t xml:space="preserve"> en julio, </w:t>
      </w:r>
      <w:r w:rsidR="002E463D">
        <w:rPr>
          <w:color w:val="767070"/>
          <w:spacing w:val="11"/>
        </w:rPr>
        <w:t>95</w:t>
      </w:r>
      <w:r w:rsidR="00EA37AE" w:rsidRPr="00092B94">
        <w:rPr>
          <w:color w:val="767070"/>
          <w:spacing w:val="11"/>
        </w:rPr>
        <w:t>.</w:t>
      </w:r>
      <w:r w:rsidR="002E463D">
        <w:rPr>
          <w:color w:val="767070"/>
          <w:spacing w:val="11"/>
        </w:rPr>
        <w:t>95</w:t>
      </w:r>
      <w:r w:rsidR="00EA37AE" w:rsidRPr="00092B94">
        <w:rPr>
          <w:color w:val="767070"/>
          <w:spacing w:val="11"/>
        </w:rPr>
        <w:t xml:space="preserve"> en </w:t>
      </w:r>
      <w:r w:rsidR="000F14DD" w:rsidRPr="00092B94">
        <w:rPr>
          <w:color w:val="767070"/>
          <w:spacing w:val="11"/>
        </w:rPr>
        <w:t>agosto</w:t>
      </w:r>
      <w:r w:rsidR="00EB3876">
        <w:rPr>
          <w:color w:val="767070"/>
          <w:spacing w:val="11"/>
        </w:rPr>
        <w:t xml:space="preserve">, </w:t>
      </w:r>
      <w:r w:rsidR="00EA37AE" w:rsidRPr="00092B94">
        <w:rPr>
          <w:color w:val="767070"/>
          <w:spacing w:val="11"/>
        </w:rPr>
        <w:t>9</w:t>
      </w:r>
      <w:r w:rsidR="002E463D">
        <w:rPr>
          <w:color w:val="767070"/>
          <w:spacing w:val="11"/>
        </w:rPr>
        <w:t>7</w:t>
      </w:r>
      <w:r w:rsidR="00EA37AE" w:rsidRPr="00092B94">
        <w:rPr>
          <w:color w:val="767070"/>
          <w:spacing w:val="11"/>
        </w:rPr>
        <w:t>.</w:t>
      </w:r>
      <w:r w:rsidR="002E463D">
        <w:rPr>
          <w:color w:val="767070"/>
          <w:spacing w:val="11"/>
        </w:rPr>
        <w:t>58</w:t>
      </w:r>
      <w:r w:rsidR="00EA37AE" w:rsidRPr="00092B94">
        <w:rPr>
          <w:color w:val="767070"/>
          <w:spacing w:val="11"/>
        </w:rPr>
        <w:t xml:space="preserve"> en</w:t>
      </w:r>
      <w:r w:rsidR="000F14DD" w:rsidRPr="00092B94">
        <w:rPr>
          <w:color w:val="767070"/>
          <w:spacing w:val="11"/>
        </w:rPr>
        <w:t xml:space="preserve"> septiembre</w:t>
      </w:r>
      <w:r w:rsidR="00EB3876">
        <w:rPr>
          <w:color w:val="767070"/>
          <w:spacing w:val="11"/>
        </w:rPr>
        <w:t xml:space="preserve"> </w:t>
      </w:r>
      <w:r w:rsidR="00EB3876" w:rsidRPr="009852FF">
        <w:rPr>
          <w:color w:val="767070"/>
          <w:spacing w:val="11"/>
        </w:rPr>
        <w:t>92.58 de 100.</w:t>
      </w:r>
      <w:r w:rsidR="00EB3876">
        <w:rPr>
          <w:color w:val="767070"/>
          <w:spacing w:val="11"/>
        </w:rPr>
        <w:t xml:space="preserve"> en octubre</w:t>
      </w:r>
      <w:r w:rsidR="00EA37AE" w:rsidRPr="00092B94">
        <w:rPr>
          <w:color w:val="767070"/>
          <w:spacing w:val="11"/>
        </w:rPr>
        <w:t>.</w:t>
      </w:r>
      <w:r w:rsidR="00C87FAE">
        <w:rPr>
          <w:color w:val="767070"/>
          <w:spacing w:val="11"/>
        </w:rPr>
        <w:t xml:space="preserve"> </w:t>
      </w:r>
      <w:r w:rsidR="00C87FAE" w:rsidRPr="00C87FAE">
        <w:rPr>
          <w:color w:val="767070"/>
          <w:spacing w:val="11"/>
        </w:rPr>
        <w:t>Ver anexo.</w:t>
      </w:r>
    </w:p>
    <w:p w14:paraId="3F1C0F0B" w14:textId="77777777" w:rsidR="002E463D" w:rsidRDefault="002E463D" w:rsidP="00772979">
      <w:pPr>
        <w:pStyle w:val="Textoindependiente"/>
        <w:spacing w:line="364" w:lineRule="auto"/>
        <w:ind w:left="642" w:right="787"/>
        <w:jc w:val="both"/>
        <w:rPr>
          <w:color w:val="767070"/>
          <w:spacing w:val="11"/>
        </w:rPr>
      </w:pPr>
    </w:p>
    <w:p w14:paraId="0A8B573F" w14:textId="77777777" w:rsidR="002E463D" w:rsidRDefault="002E463D" w:rsidP="00772979">
      <w:pPr>
        <w:pStyle w:val="Textoindependiente"/>
        <w:spacing w:line="364" w:lineRule="auto"/>
        <w:ind w:left="642" w:right="787"/>
        <w:jc w:val="both"/>
        <w:rPr>
          <w:color w:val="767070"/>
          <w:spacing w:val="11"/>
        </w:rPr>
      </w:pPr>
    </w:p>
    <w:p w14:paraId="7ED79889" w14:textId="77777777" w:rsidR="000F14DD" w:rsidRDefault="000F14DD" w:rsidP="002E463D">
      <w:pPr>
        <w:pStyle w:val="Textoindependiente"/>
        <w:spacing w:line="364" w:lineRule="auto"/>
        <w:ind w:right="787"/>
        <w:jc w:val="both"/>
        <w:rPr>
          <w:color w:val="767070"/>
          <w:spacing w:val="11"/>
        </w:rPr>
      </w:pPr>
    </w:p>
    <w:p w14:paraId="1C23484D" w14:textId="77777777" w:rsidR="000F14DD" w:rsidRDefault="000F14DD" w:rsidP="002E463D">
      <w:pPr>
        <w:pStyle w:val="Textoindependiente"/>
        <w:spacing w:line="364" w:lineRule="auto"/>
        <w:ind w:right="787"/>
        <w:jc w:val="both"/>
        <w:rPr>
          <w:color w:val="767070"/>
          <w:spacing w:val="11"/>
        </w:rPr>
      </w:pPr>
    </w:p>
    <w:p w14:paraId="1099684D" w14:textId="77777777" w:rsidR="000F14DD" w:rsidRDefault="000F14DD" w:rsidP="00772979">
      <w:pPr>
        <w:pStyle w:val="Textoindependiente"/>
        <w:spacing w:line="364" w:lineRule="auto"/>
        <w:ind w:left="642" w:right="787"/>
        <w:jc w:val="both"/>
        <w:rPr>
          <w:color w:val="767070"/>
          <w:spacing w:val="11"/>
        </w:rPr>
      </w:pPr>
    </w:p>
    <w:p w14:paraId="6842F988" w14:textId="6C8F69D1" w:rsidR="000F14DD" w:rsidRDefault="00EB3876" w:rsidP="00772979">
      <w:pPr>
        <w:pStyle w:val="Textoindependiente"/>
        <w:spacing w:line="364" w:lineRule="auto"/>
        <w:ind w:left="642" w:right="787"/>
        <w:jc w:val="both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7878479C" wp14:editId="5D7C89F1">
            <wp:simplePos x="0" y="0"/>
            <wp:positionH relativeFrom="column">
              <wp:posOffset>313690</wp:posOffset>
            </wp:positionH>
            <wp:positionV relativeFrom="paragraph">
              <wp:posOffset>266700</wp:posOffset>
            </wp:positionV>
            <wp:extent cx="5057775" cy="2286000"/>
            <wp:effectExtent l="0" t="0" r="9525" b="0"/>
            <wp:wrapThrough wrapText="bothSides">
              <wp:wrapPolygon edited="0">
                <wp:start x="0" y="0"/>
                <wp:lineTo x="0" y="21420"/>
                <wp:lineTo x="21559" y="21420"/>
                <wp:lineTo x="21559" y="0"/>
                <wp:lineTo x="0" y="0"/>
              </wp:wrapPolygon>
            </wp:wrapThrough>
            <wp:docPr id="110318628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42CEE" w14:textId="0EAC2A58" w:rsidR="00EB3876" w:rsidRDefault="00EB3876" w:rsidP="00A84462">
      <w:pPr>
        <w:keepNext/>
        <w:keepLines/>
        <w:widowControl/>
        <w:autoSpaceDE/>
        <w:autoSpaceDN/>
        <w:spacing w:before="240" w:after="160" w:line="360" w:lineRule="auto"/>
        <w:jc w:val="center"/>
        <w:outlineLvl w:val="0"/>
        <w:rPr>
          <w:color w:val="404040"/>
          <w:sz w:val="28"/>
          <w:szCs w:val="32"/>
        </w:rPr>
      </w:pPr>
      <w:bookmarkStart w:id="1" w:name="_Toc77155025"/>
    </w:p>
    <w:p w14:paraId="059AEE54" w14:textId="77777777" w:rsidR="00EB3876" w:rsidRDefault="00EB3876" w:rsidP="00A84462">
      <w:pPr>
        <w:keepNext/>
        <w:keepLines/>
        <w:widowControl/>
        <w:autoSpaceDE/>
        <w:autoSpaceDN/>
        <w:spacing w:before="240" w:after="160" w:line="360" w:lineRule="auto"/>
        <w:jc w:val="center"/>
        <w:outlineLvl w:val="0"/>
        <w:rPr>
          <w:color w:val="404040"/>
          <w:sz w:val="28"/>
          <w:szCs w:val="32"/>
        </w:rPr>
      </w:pPr>
    </w:p>
    <w:p w14:paraId="11215EC2" w14:textId="741C8804" w:rsidR="00C87FAE" w:rsidRPr="00C87FAE" w:rsidRDefault="00C87FAE" w:rsidP="00A84462">
      <w:pPr>
        <w:keepNext/>
        <w:keepLines/>
        <w:widowControl/>
        <w:autoSpaceDE/>
        <w:autoSpaceDN/>
        <w:spacing w:before="240" w:after="160" w:line="360" w:lineRule="auto"/>
        <w:jc w:val="center"/>
        <w:outlineLvl w:val="0"/>
        <w:rPr>
          <w:color w:val="404040"/>
          <w:sz w:val="28"/>
          <w:szCs w:val="32"/>
        </w:rPr>
      </w:pPr>
      <w:r w:rsidRPr="00C87FAE">
        <w:rPr>
          <w:color w:val="404040"/>
          <w:sz w:val="28"/>
          <w:szCs w:val="32"/>
        </w:rPr>
        <w:t>ANEXOS</w:t>
      </w:r>
      <w:bookmarkEnd w:id="1"/>
      <w:r w:rsidRPr="00C87FAE">
        <w:rPr>
          <w:color w:val="404040"/>
          <w:sz w:val="28"/>
          <w:szCs w:val="32"/>
        </w:rPr>
        <w:t>.</w:t>
      </w:r>
    </w:p>
    <w:p w14:paraId="483D02BB" w14:textId="77777777" w:rsidR="00C87FAE" w:rsidRPr="00C87FAE" w:rsidRDefault="00C87FAE" w:rsidP="00C87FAE">
      <w:pPr>
        <w:widowControl/>
        <w:autoSpaceDE/>
        <w:autoSpaceDN/>
        <w:spacing w:after="160" w:line="360" w:lineRule="auto"/>
        <w:rPr>
          <w:rFonts w:asciiTheme="minorHAnsi" w:eastAsiaTheme="minorHAnsi" w:hAnsiTheme="minorHAnsi" w:cstheme="minorBidi"/>
        </w:rPr>
      </w:pPr>
    </w:p>
    <w:p w14:paraId="679E99FF" w14:textId="77777777" w:rsidR="00C87FAE" w:rsidRPr="00C87FAE" w:rsidRDefault="00C87FAE" w:rsidP="00C87FAE">
      <w:pPr>
        <w:keepNext/>
        <w:widowControl/>
        <w:numPr>
          <w:ilvl w:val="0"/>
          <w:numId w:val="3"/>
        </w:numPr>
        <w:autoSpaceDE/>
        <w:autoSpaceDN/>
        <w:spacing w:before="240" w:after="60" w:line="256" w:lineRule="auto"/>
        <w:jc w:val="both"/>
        <w:outlineLvl w:val="1"/>
        <w:rPr>
          <w:rFonts w:eastAsia="Calibri"/>
          <w:color w:val="767171"/>
          <w:spacing w:val="20"/>
          <w:sz w:val="24"/>
          <w:szCs w:val="36"/>
          <w:lang w:val="es-DO"/>
        </w:rPr>
      </w:pPr>
      <w:bookmarkStart w:id="2" w:name="_Toc77155026"/>
      <w:r w:rsidRPr="00C87FAE">
        <w:rPr>
          <w:rFonts w:eastAsia="Calibri"/>
          <w:color w:val="767171"/>
          <w:spacing w:val="20"/>
          <w:sz w:val="24"/>
          <w:szCs w:val="36"/>
          <w:lang w:val="es-DO"/>
        </w:rPr>
        <w:t>Matriz de principales indicadores de gestión por procesos</w:t>
      </w:r>
      <w:bookmarkEnd w:id="2"/>
    </w:p>
    <w:p w14:paraId="4A86B237" w14:textId="2C1B49F2" w:rsidR="00C87FAE" w:rsidRDefault="00C87FAE" w:rsidP="00C87FAE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DO"/>
        </w:rPr>
      </w:pPr>
    </w:p>
    <w:p w14:paraId="2C6FB502" w14:textId="2DF0927F" w:rsidR="00C87FAE" w:rsidRDefault="00C352C6" w:rsidP="00C87FAE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DO"/>
        </w:rPr>
      </w:pPr>
      <w:r>
        <w:rPr>
          <w:rFonts w:asciiTheme="minorHAnsi" w:eastAsiaTheme="minorHAnsi" w:hAnsiTheme="minorHAnsi" w:cstheme="minorBidi"/>
          <w:noProof/>
          <w:lang w:val="es-DO"/>
        </w:rPr>
        <w:drawing>
          <wp:anchor distT="0" distB="0" distL="114300" distR="114300" simplePos="0" relativeHeight="251672576" behindDoc="0" locked="0" layoutInCell="1" allowOverlap="1" wp14:anchorId="5627F5D0" wp14:editId="3E1BC684">
            <wp:simplePos x="0" y="0"/>
            <wp:positionH relativeFrom="column">
              <wp:posOffset>-111760</wp:posOffset>
            </wp:positionH>
            <wp:positionV relativeFrom="paragraph">
              <wp:posOffset>109220</wp:posOffset>
            </wp:positionV>
            <wp:extent cx="5685155" cy="3112135"/>
            <wp:effectExtent l="0" t="0" r="0" b="0"/>
            <wp:wrapThrough wrapText="bothSides">
              <wp:wrapPolygon edited="0">
                <wp:start x="0" y="0"/>
                <wp:lineTo x="0" y="21419"/>
                <wp:lineTo x="21496" y="21419"/>
                <wp:lineTo x="21496" y="0"/>
                <wp:lineTo x="0" y="0"/>
              </wp:wrapPolygon>
            </wp:wrapThrough>
            <wp:docPr id="379459469" name="Imagen 1" descr="Interfaz de usuario gráfica, Aplicación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59469" name="Imagen 1" descr="Interfaz de usuario gráfica, Aplicación, Sitio web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515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FDD13" w14:textId="77501491" w:rsidR="00C87FAE" w:rsidRDefault="00C87FAE" w:rsidP="00C87FAE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DO"/>
        </w:rPr>
      </w:pPr>
    </w:p>
    <w:p w14:paraId="35D15A11" w14:textId="77777777" w:rsidR="00C87FAE" w:rsidRDefault="00C87FAE" w:rsidP="00C87FAE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DO"/>
        </w:rPr>
      </w:pPr>
    </w:p>
    <w:p w14:paraId="3B7912EC" w14:textId="77777777" w:rsidR="00C87FAE" w:rsidRDefault="00C87FAE" w:rsidP="00A84462">
      <w:pPr>
        <w:widowControl/>
        <w:autoSpaceDE/>
        <w:autoSpaceDN/>
        <w:spacing w:after="380" w:line="360" w:lineRule="auto"/>
        <w:ind w:right="-143"/>
        <w:rPr>
          <w:rFonts w:eastAsia="Calibri"/>
          <w:color w:val="767171"/>
          <w:spacing w:val="20"/>
          <w:sz w:val="24"/>
          <w:szCs w:val="36"/>
          <w:lang w:val="es-DO"/>
        </w:rPr>
      </w:pPr>
    </w:p>
    <w:p w14:paraId="493C1123" w14:textId="77777777" w:rsidR="00C352C6" w:rsidRDefault="00C352C6" w:rsidP="00A84462">
      <w:pPr>
        <w:widowControl/>
        <w:autoSpaceDE/>
        <w:autoSpaceDN/>
        <w:spacing w:after="380" w:line="360" w:lineRule="auto"/>
        <w:ind w:right="-143"/>
        <w:rPr>
          <w:rFonts w:eastAsia="Calibri"/>
          <w:color w:val="767171"/>
          <w:spacing w:val="20"/>
          <w:sz w:val="24"/>
          <w:szCs w:val="36"/>
          <w:lang w:val="es-DO"/>
        </w:rPr>
      </w:pPr>
    </w:p>
    <w:p w14:paraId="258E51A8" w14:textId="77777777" w:rsidR="00C352C6" w:rsidRDefault="00C352C6" w:rsidP="00A84462">
      <w:pPr>
        <w:widowControl/>
        <w:autoSpaceDE/>
        <w:autoSpaceDN/>
        <w:spacing w:after="380" w:line="360" w:lineRule="auto"/>
        <w:ind w:right="-143"/>
        <w:rPr>
          <w:rFonts w:eastAsia="Calibri"/>
          <w:color w:val="767171"/>
          <w:spacing w:val="20"/>
          <w:sz w:val="24"/>
          <w:szCs w:val="36"/>
          <w:lang w:val="es-DO"/>
        </w:rPr>
      </w:pPr>
    </w:p>
    <w:p w14:paraId="1A5324DA" w14:textId="77777777" w:rsidR="00C352C6" w:rsidRDefault="00C352C6" w:rsidP="00A84462">
      <w:pPr>
        <w:widowControl/>
        <w:autoSpaceDE/>
        <w:autoSpaceDN/>
        <w:spacing w:after="380" w:line="360" w:lineRule="auto"/>
        <w:ind w:right="-143"/>
        <w:rPr>
          <w:rFonts w:eastAsia="Calibri"/>
          <w:color w:val="767171"/>
          <w:spacing w:val="20"/>
          <w:sz w:val="24"/>
          <w:szCs w:val="36"/>
          <w:lang w:val="es-DO"/>
        </w:rPr>
      </w:pPr>
    </w:p>
    <w:p w14:paraId="0F74FE07" w14:textId="77777777" w:rsidR="00643604" w:rsidRDefault="00643604" w:rsidP="00A84462">
      <w:pPr>
        <w:widowControl/>
        <w:autoSpaceDE/>
        <w:autoSpaceDN/>
        <w:spacing w:after="380" w:line="360" w:lineRule="auto"/>
        <w:ind w:right="-143"/>
        <w:rPr>
          <w:rFonts w:eastAsia="Calibri"/>
          <w:color w:val="767171"/>
          <w:spacing w:val="20"/>
          <w:sz w:val="24"/>
          <w:szCs w:val="36"/>
          <w:lang w:val="es-DO"/>
        </w:rPr>
      </w:pPr>
    </w:p>
    <w:p w14:paraId="1896757C" w14:textId="77777777" w:rsidR="00C352C6" w:rsidRPr="00C87FAE" w:rsidRDefault="00C352C6" w:rsidP="00A84462">
      <w:pPr>
        <w:widowControl/>
        <w:autoSpaceDE/>
        <w:autoSpaceDN/>
        <w:spacing w:after="380" w:line="360" w:lineRule="auto"/>
        <w:ind w:right="-143"/>
        <w:rPr>
          <w:rFonts w:eastAsia="Calibri"/>
          <w:color w:val="767171"/>
          <w:spacing w:val="20"/>
          <w:sz w:val="24"/>
          <w:szCs w:val="36"/>
          <w:lang w:val="es-DO"/>
        </w:rPr>
      </w:pPr>
    </w:p>
    <w:p w14:paraId="2ED7ABEC" w14:textId="77777777" w:rsidR="00C87FAE" w:rsidRPr="00C87FAE" w:rsidRDefault="00A84462" w:rsidP="00A84462">
      <w:pPr>
        <w:widowControl/>
        <w:autoSpaceDE/>
        <w:autoSpaceDN/>
        <w:spacing w:after="380" w:line="360" w:lineRule="auto"/>
        <w:rPr>
          <w:rFonts w:eastAsia="Calibri"/>
          <w:color w:val="767171"/>
          <w:spacing w:val="20"/>
          <w:sz w:val="24"/>
          <w:szCs w:val="36"/>
          <w:lang w:val="es-DO"/>
        </w:rPr>
      </w:pPr>
      <w:r>
        <w:rPr>
          <w:rFonts w:asciiTheme="minorHAnsi" w:eastAsiaTheme="minorHAnsi" w:hAnsiTheme="minorHAnsi" w:cstheme="minorBidi"/>
          <w:noProof/>
          <w:lang w:val="es-DO" w:eastAsia="es-DO"/>
        </w:rPr>
        <w:lastRenderedPageBreak/>
        <w:drawing>
          <wp:anchor distT="0" distB="0" distL="114300" distR="114300" simplePos="0" relativeHeight="251670528" behindDoc="0" locked="0" layoutInCell="1" allowOverlap="1" wp14:anchorId="6744469E" wp14:editId="3FFBE8B9">
            <wp:simplePos x="0" y="0"/>
            <wp:positionH relativeFrom="margin">
              <wp:align>center</wp:align>
            </wp:positionH>
            <wp:positionV relativeFrom="paragraph">
              <wp:posOffset>599385</wp:posOffset>
            </wp:positionV>
            <wp:extent cx="6447790" cy="3124835"/>
            <wp:effectExtent l="0" t="0" r="0" b="0"/>
            <wp:wrapThrough wrapText="bothSides">
              <wp:wrapPolygon edited="0">
                <wp:start x="0" y="0"/>
                <wp:lineTo x="0" y="21464"/>
                <wp:lineTo x="21506" y="21464"/>
                <wp:lineTo x="21506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1-Sistema, 3-1-1-Evidenci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7790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FAE" w:rsidRPr="00C87FAE">
        <w:rPr>
          <w:rFonts w:eastAsia="Calibri"/>
          <w:color w:val="767171"/>
          <w:spacing w:val="20"/>
          <w:sz w:val="24"/>
          <w:szCs w:val="36"/>
          <w:lang w:val="es-DO"/>
        </w:rPr>
        <w:t>b</w:t>
      </w:r>
      <w:r w:rsidR="00C87FAE" w:rsidRPr="00C87FAE">
        <w:rPr>
          <w:rFonts w:eastAsia="Calibri"/>
          <w:b/>
          <w:color w:val="767171"/>
          <w:spacing w:val="20"/>
          <w:sz w:val="24"/>
          <w:szCs w:val="36"/>
          <w:lang w:val="es-DO"/>
        </w:rPr>
        <w:t>.</w:t>
      </w:r>
      <w:r w:rsidR="00C87FAE" w:rsidRPr="00C87FAE">
        <w:rPr>
          <w:rFonts w:eastAsia="Calibri"/>
          <w:color w:val="767171"/>
          <w:spacing w:val="20"/>
          <w:sz w:val="24"/>
          <w:szCs w:val="36"/>
          <w:lang w:val="es-DO"/>
        </w:rPr>
        <w:t xml:space="preserve"> Servicio al Ciudadano</w:t>
      </w:r>
    </w:p>
    <w:p w14:paraId="22EB3B74" w14:textId="240315BF" w:rsidR="00C87FAE" w:rsidRPr="00C87FAE" w:rsidRDefault="00C87FAE" w:rsidP="00C87FAE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DO"/>
        </w:rPr>
      </w:pPr>
    </w:p>
    <w:p w14:paraId="06A150E0" w14:textId="431129E1" w:rsidR="00A84462" w:rsidRPr="000278D6" w:rsidRDefault="00A84462" w:rsidP="00C352C6">
      <w:pPr>
        <w:pStyle w:val="Textoindependiente"/>
        <w:spacing w:line="364" w:lineRule="auto"/>
        <w:ind w:left="642" w:right="787"/>
        <w:jc w:val="both"/>
        <w:rPr>
          <w:color w:val="767070"/>
          <w:spacing w:val="11"/>
        </w:rPr>
      </w:pPr>
      <w:r>
        <w:rPr>
          <w:color w:val="767070"/>
          <w:spacing w:val="11"/>
        </w:rPr>
        <w:t>Este documento es realizado por;</w:t>
      </w:r>
    </w:p>
    <w:p w14:paraId="56BA9622" w14:textId="384ED369" w:rsidR="00A84462" w:rsidRPr="00E05BA2" w:rsidRDefault="00A84462" w:rsidP="00C352C6">
      <w:pPr>
        <w:pStyle w:val="Textoindependiente"/>
        <w:spacing w:line="364" w:lineRule="auto"/>
        <w:ind w:right="787"/>
        <w:jc w:val="both"/>
        <w:rPr>
          <w:color w:val="767070"/>
          <w:spacing w:val="11"/>
        </w:rPr>
      </w:pPr>
    </w:p>
    <w:p w14:paraId="4928E2B5" w14:textId="3FE50D5F" w:rsidR="00C352C6" w:rsidRDefault="00C352C6" w:rsidP="00C352C6">
      <w:pPr>
        <w:pStyle w:val="Textoindependiente"/>
        <w:spacing w:line="364" w:lineRule="auto"/>
        <w:ind w:right="787"/>
        <w:jc w:val="both"/>
        <w:rPr>
          <w:color w:val="767070"/>
          <w:spacing w:val="11"/>
        </w:rPr>
      </w:pPr>
    </w:p>
    <w:p w14:paraId="6DC53C48" w14:textId="77777777" w:rsidR="00EB3876" w:rsidRDefault="00EB3876" w:rsidP="00C352C6">
      <w:pPr>
        <w:pStyle w:val="Textoindependiente"/>
        <w:spacing w:line="364" w:lineRule="auto"/>
        <w:ind w:right="787"/>
        <w:jc w:val="both"/>
        <w:rPr>
          <w:color w:val="767070"/>
          <w:spacing w:val="11"/>
        </w:rPr>
      </w:pPr>
    </w:p>
    <w:p w14:paraId="249B4B04" w14:textId="5A25B3EA" w:rsidR="00C352C6" w:rsidRDefault="00C352C6" w:rsidP="00C352C6">
      <w:pPr>
        <w:pStyle w:val="Textoindependiente"/>
        <w:spacing w:line="364" w:lineRule="auto"/>
        <w:ind w:right="787"/>
        <w:jc w:val="both"/>
        <w:rPr>
          <w:color w:val="767070"/>
          <w:spacing w:val="11"/>
        </w:rPr>
      </w:pPr>
    </w:p>
    <w:p w14:paraId="4F1E730A" w14:textId="77777777" w:rsidR="00A84462" w:rsidRPr="00BD0E7C" w:rsidRDefault="00A84462" w:rsidP="00A84462">
      <w:pPr>
        <w:pStyle w:val="Sinespaciad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D0E7C">
        <w:rPr>
          <w:rFonts w:ascii="Times New Roman" w:hAnsi="Times New Roman" w:cs="Times New Roman"/>
          <w:sz w:val="24"/>
          <w:szCs w:val="24"/>
        </w:rPr>
        <w:t>Josué Reinoso</w:t>
      </w:r>
      <w:r w:rsidRPr="00BD0E7C">
        <w:rPr>
          <w:rFonts w:ascii="Times New Roman" w:hAnsi="Times New Roman" w:cs="Times New Roman"/>
          <w:sz w:val="24"/>
          <w:szCs w:val="24"/>
        </w:rPr>
        <w:tab/>
      </w:r>
      <w:r w:rsidRPr="00BD0E7C">
        <w:rPr>
          <w:rFonts w:ascii="Times New Roman" w:hAnsi="Times New Roman" w:cs="Times New Roman"/>
          <w:sz w:val="24"/>
          <w:szCs w:val="24"/>
        </w:rPr>
        <w:tab/>
      </w:r>
    </w:p>
    <w:p w14:paraId="5E30148F" w14:textId="77777777" w:rsidR="00772979" w:rsidRDefault="00A84462" w:rsidP="00A84462">
      <w:pPr>
        <w:pStyle w:val="Textoindependiente"/>
        <w:spacing w:line="364" w:lineRule="auto"/>
        <w:ind w:left="642" w:right="787"/>
        <w:jc w:val="both"/>
        <w:rPr>
          <w:color w:val="767070"/>
          <w:spacing w:val="11"/>
        </w:rPr>
      </w:pPr>
      <w:r w:rsidRPr="00BD0E7C">
        <w:t>Técnico de Acceso a la Información Pública</w:t>
      </w:r>
    </w:p>
    <w:p w14:paraId="75918830" w14:textId="77777777" w:rsidR="00A84462" w:rsidRDefault="00A84462" w:rsidP="00772979">
      <w:pPr>
        <w:pStyle w:val="Textoindependiente"/>
        <w:spacing w:line="364" w:lineRule="auto"/>
        <w:ind w:left="642" w:right="787"/>
        <w:jc w:val="both"/>
        <w:rPr>
          <w:color w:val="767070"/>
          <w:spacing w:val="11"/>
        </w:rPr>
      </w:pPr>
    </w:p>
    <w:p w14:paraId="6B229C43" w14:textId="77777777" w:rsidR="00A84462" w:rsidRDefault="00A84462" w:rsidP="00772979">
      <w:pPr>
        <w:pStyle w:val="Textoindependiente"/>
        <w:spacing w:line="364" w:lineRule="auto"/>
        <w:ind w:left="642" w:right="787"/>
        <w:jc w:val="both"/>
        <w:rPr>
          <w:color w:val="767070"/>
          <w:spacing w:val="11"/>
        </w:rPr>
      </w:pPr>
    </w:p>
    <w:p w14:paraId="29D195E0" w14:textId="77777777" w:rsidR="00A84462" w:rsidRDefault="00A84462" w:rsidP="00772979">
      <w:pPr>
        <w:pStyle w:val="Textoindependiente"/>
        <w:spacing w:line="364" w:lineRule="auto"/>
        <w:ind w:left="642" w:right="787"/>
        <w:jc w:val="both"/>
        <w:rPr>
          <w:color w:val="767070"/>
          <w:spacing w:val="11"/>
        </w:rPr>
      </w:pPr>
    </w:p>
    <w:p w14:paraId="686F7CA0" w14:textId="77777777" w:rsidR="00A84462" w:rsidRDefault="00A84462" w:rsidP="00772979">
      <w:pPr>
        <w:pStyle w:val="Textoindependiente"/>
        <w:spacing w:line="364" w:lineRule="auto"/>
        <w:ind w:left="642" w:right="787"/>
        <w:jc w:val="both"/>
        <w:rPr>
          <w:color w:val="767070"/>
          <w:spacing w:val="11"/>
        </w:rPr>
      </w:pPr>
    </w:p>
    <w:p w14:paraId="180D068E" w14:textId="77777777" w:rsidR="00A84462" w:rsidRDefault="00A84462" w:rsidP="00772979">
      <w:pPr>
        <w:pStyle w:val="Textoindependiente"/>
        <w:spacing w:line="364" w:lineRule="auto"/>
        <w:ind w:left="642" w:right="787"/>
        <w:jc w:val="both"/>
        <w:rPr>
          <w:color w:val="767070"/>
          <w:spacing w:val="11"/>
        </w:rPr>
      </w:pPr>
    </w:p>
    <w:p w14:paraId="46C135CD" w14:textId="77777777" w:rsidR="00A84462" w:rsidRDefault="00A84462" w:rsidP="00772979">
      <w:pPr>
        <w:pStyle w:val="Textoindependiente"/>
        <w:spacing w:line="364" w:lineRule="auto"/>
        <w:ind w:left="642" w:right="787"/>
        <w:jc w:val="both"/>
        <w:rPr>
          <w:color w:val="767070"/>
          <w:spacing w:val="11"/>
        </w:rPr>
      </w:pPr>
    </w:p>
    <w:p w14:paraId="7D39C67F" w14:textId="77777777" w:rsidR="00772979" w:rsidRDefault="00772979" w:rsidP="00772979">
      <w:pPr>
        <w:pStyle w:val="Textoindependiente"/>
        <w:spacing w:line="364" w:lineRule="auto"/>
        <w:ind w:left="642" w:right="787"/>
        <w:jc w:val="both"/>
        <w:rPr>
          <w:color w:val="767070"/>
          <w:spacing w:val="11"/>
        </w:rPr>
      </w:pPr>
    </w:p>
    <w:p w14:paraId="14D1F407" w14:textId="77777777" w:rsidR="00CF5601" w:rsidRDefault="00CF5601"/>
    <w:sectPr w:rsidR="00CF5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7F5A"/>
    <w:multiLevelType w:val="hybridMultilevel"/>
    <w:tmpl w:val="BD4CB06A"/>
    <w:lvl w:ilvl="0" w:tplc="1C0A0019">
      <w:start w:val="1"/>
      <w:numFmt w:val="lowerLetter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7175F"/>
    <w:multiLevelType w:val="multilevel"/>
    <w:tmpl w:val="762256C0"/>
    <w:lvl w:ilvl="0">
      <w:start w:val="1"/>
      <w:numFmt w:val="upperRoman"/>
      <w:lvlText w:val="%1."/>
      <w:lvlJc w:val="left"/>
      <w:pPr>
        <w:ind w:left="2705" w:hanging="720"/>
      </w:pPr>
    </w:lvl>
    <w:lvl w:ilvl="1">
      <w:start w:val="1"/>
      <w:numFmt w:val="decimal"/>
      <w:isLgl/>
      <w:lvlText w:val="%1.%2"/>
      <w:lvlJc w:val="left"/>
      <w:pPr>
        <w:ind w:left="1985" w:hanging="360"/>
      </w:pPr>
    </w:lvl>
    <w:lvl w:ilvl="2">
      <w:start w:val="1"/>
      <w:numFmt w:val="decimal"/>
      <w:isLgl/>
      <w:lvlText w:val="%1.%2.%3"/>
      <w:lvlJc w:val="left"/>
      <w:pPr>
        <w:ind w:left="2705" w:hanging="720"/>
      </w:pPr>
    </w:lvl>
    <w:lvl w:ilvl="3">
      <w:start w:val="1"/>
      <w:numFmt w:val="decimal"/>
      <w:isLgl/>
      <w:lvlText w:val="%1.%2.%3.%4"/>
      <w:lvlJc w:val="left"/>
      <w:pPr>
        <w:ind w:left="3065" w:hanging="1080"/>
      </w:pPr>
    </w:lvl>
    <w:lvl w:ilvl="4">
      <w:start w:val="1"/>
      <w:numFmt w:val="decimal"/>
      <w:isLgl/>
      <w:lvlText w:val="%1.%2.%3.%4.%5"/>
      <w:lvlJc w:val="left"/>
      <w:pPr>
        <w:ind w:left="3065" w:hanging="1080"/>
      </w:pPr>
    </w:lvl>
    <w:lvl w:ilvl="5">
      <w:start w:val="1"/>
      <w:numFmt w:val="decimal"/>
      <w:isLgl/>
      <w:lvlText w:val="%1.%2.%3.%4.%5.%6"/>
      <w:lvlJc w:val="left"/>
      <w:pPr>
        <w:ind w:left="3425" w:hanging="1440"/>
      </w:pPr>
    </w:lvl>
    <w:lvl w:ilvl="6">
      <w:start w:val="1"/>
      <w:numFmt w:val="decimal"/>
      <w:isLgl/>
      <w:lvlText w:val="%1.%2.%3.%4.%5.%6.%7"/>
      <w:lvlJc w:val="left"/>
      <w:pPr>
        <w:ind w:left="3785" w:hanging="1800"/>
      </w:pPr>
    </w:lvl>
    <w:lvl w:ilvl="7">
      <w:start w:val="1"/>
      <w:numFmt w:val="decimal"/>
      <w:isLgl/>
      <w:lvlText w:val="%1.%2.%3.%4.%5.%6.%7.%8"/>
      <w:lvlJc w:val="left"/>
      <w:pPr>
        <w:ind w:left="3785" w:hanging="1800"/>
      </w:pPr>
    </w:lvl>
    <w:lvl w:ilvl="8">
      <w:start w:val="1"/>
      <w:numFmt w:val="decimal"/>
      <w:isLgl/>
      <w:lvlText w:val="%1.%2.%3.%4.%5.%6.%7.%8.%9"/>
      <w:lvlJc w:val="left"/>
      <w:pPr>
        <w:ind w:left="4145" w:hanging="2160"/>
      </w:pPr>
    </w:lvl>
  </w:abstractNum>
  <w:abstractNum w:abstractNumId="2" w15:restartNumberingAfterBreak="0">
    <w:nsid w:val="6DBF01E2"/>
    <w:multiLevelType w:val="multilevel"/>
    <w:tmpl w:val="80BE584C"/>
    <w:lvl w:ilvl="0">
      <w:start w:val="1"/>
      <w:numFmt w:val="decimal"/>
      <w:lvlText w:val="%1."/>
      <w:lvlJc w:val="left"/>
      <w:pPr>
        <w:ind w:left="1198" w:hanging="722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13" w:hanging="436"/>
        <w:jc w:val="right"/>
      </w:pPr>
      <w:rPr>
        <w:rFonts w:ascii="Times New Roman" w:eastAsia="Times New Roman" w:hAnsi="Times New Roman" w:cs="Times New Roman" w:hint="default"/>
        <w:color w:val="767070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102" w:hanging="43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04" w:hanging="43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06" w:hanging="43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08" w:hanging="43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11" w:hanging="43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13" w:hanging="43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5" w:hanging="436"/>
      </w:pPr>
      <w:rPr>
        <w:rFonts w:hint="default"/>
        <w:lang w:val="es-ES" w:eastAsia="en-US" w:bidi="ar-SA"/>
      </w:rPr>
    </w:lvl>
  </w:abstractNum>
  <w:num w:numId="1" w16cid:durableId="143205284">
    <w:abstractNumId w:val="2"/>
  </w:num>
  <w:num w:numId="2" w16cid:durableId="831333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9400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D9B"/>
    <w:rsid w:val="000278D6"/>
    <w:rsid w:val="0003336E"/>
    <w:rsid w:val="00047141"/>
    <w:rsid w:val="00092B94"/>
    <w:rsid w:val="000A66BE"/>
    <w:rsid w:val="000D3ACC"/>
    <w:rsid w:val="000D46BF"/>
    <w:rsid w:val="000E57A5"/>
    <w:rsid w:val="000F14DD"/>
    <w:rsid w:val="00122479"/>
    <w:rsid w:val="001735C8"/>
    <w:rsid w:val="001B7090"/>
    <w:rsid w:val="002219F9"/>
    <w:rsid w:val="002A4C60"/>
    <w:rsid w:val="002D0F47"/>
    <w:rsid w:val="002D591B"/>
    <w:rsid w:val="002E04C3"/>
    <w:rsid w:val="002E463D"/>
    <w:rsid w:val="002E5872"/>
    <w:rsid w:val="00306882"/>
    <w:rsid w:val="00337C88"/>
    <w:rsid w:val="004A0971"/>
    <w:rsid w:val="004A30B9"/>
    <w:rsid w:val="0051005A"/>
    <w:rsid w:val="00565667"/>
    <w:rsid w:val="00570B34"/>
    <w:rsid w:val="0059338D"/>
    <w:rsid w:val="005F35EF"/>
    <w:rsid w:val="00643604"/>
    <w:rsid w:val="006519F8"/>
    <w:rsid w:val="00664810"/>
    <w:rsid w:val="00697170"/>
    <w:rsid w:val="006B53E0"/>
    <w:rsid w:val="006C2EA4"/>
    <w:rsid w:val="00772979"/>
    <w:rsid w:val="00814E69"/>
    <w:rsid w:val="00816E7D"/>
    <w:rsid w:val="0087477C"/>
    <w:rsid w:val="008C7E7C"/>
    <w:rsid w:val="008F4EEB"/>
    <w:rsid w:val="009523DD"/>
    <w:rsid w:val="00A332FA"/>
    <w:rsid w:val="00A46463"/>
    <w:rsid w:val="00A63464"/>
    <w:rsid w:val="00A7429C"/>
    <w:rsid w:val="00A83D9B"/>
    <w:rsid w:val="00A84462"/>
    <w:rsid w:val="00B25A01"/>
    <w:rsid w:val="00B37F3E"/>
    <w:rsid w:val="00B46A3F"/>
    <w:rsid w:val="00B75C83"/>
    <w:rsid w:val="00B86C69"/>
    <w:rsid w:val="00BC61C3"/>
    <w:rsid w:val="00C352C6"/>
    <w:rsid w:val="00C74D65"/>
    <w:rsid w:val="00C752E8"/>
    <w:rsid w:val="00C87FAE"/>
    <w:rsid w:val="00CE7C46"/>
    <w:rsid w:val="00CF5601"/>
    <w:rsid w:val="00D060C6"/>
    <w:rsid w:val="00D279E7"/>
    <w:rsid w:val="00D43820"/>
    <w:rsid w:val="00DA652B"/>
    <w:rsid w:val="00DD70D8"/>
    <w:rsid w:val="00E05BA2"/>
    <w:rsid w:val="00E32E3B"/>
    <w:rsid w:val="00E620D5"/>
    <w:rsid w:val="00EA37AE"/>
    <w:rsid w:val="00EB3876"/>
    <w:rsid w:val="00ED6F8C"/>
    <w:rsid w:val="00F1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45DF96"/>
  <w15:chartTrackingRefBased/>
  <w15:docId w15:val="{927C32A8-524A-4362-BF94-CD6C14E5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3D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464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A83D9B"/>
    <w:pPr>
      <w:spacing w:line="273" w:lineRule="exact"/>
      <w:ind w:left="442" w:right="2313"/>
      <w:jc w:val="center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A83D9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A83D9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83D9B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3D9B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A83D9B"/>
    <w:pPr>
      <w:ind w:left="1513" w:hanging="631"/>
    </w:pPr>
  </w:style>
  <w:style w:type="paragraph" w:customStyle="1" w:styleId="TableParagraph">
    <w:name w:val="Table Paragraph"/>
    <w:basedOn w:val="Normal"/>
    <w:uiPriority w:val="1"/>
    <w:qFormat/>
    <w:rsid w:val="00A83D9B"/>
  </w:style>
  <w:style w:type="character" w:customStyle="1" w:styleId="Ttulo1Car">
    <w:name w:val="Título 1 Car"/>
    <w:basedOn w:val="Fuentedeprrafopredeter"/>
    <w:link w:val="Ttulo1"/>
    <w:uiPriority w:val="9"/>
    <w:rsid w:val="00A464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Ttulo">
    <w:name w:val="Title"/>
    <w:basedOn w:val="Normal"/>
    <w:link w:val="TtuloCar"/>
    <w:uiPriority w:val="1"/>
    <w:qFormat/>
    <w:rsid w:val="00A46463"/>
    <w:pPr>
      <w:spacing w:before="13"/>
      <w:ind w:right="785"/>
      <w:jc w:val="right"/>
    </w:pPr>
    <w:rPr>
      <w:sz w:val="36"/>
      <w:szCs w:val="36"/>
    </w:rPr>
  </w:style>
  <w:style w:type="character" w:customStyle="1" w:styleId="TtuloCar">
    <w:name w:val="Título Car"/>
    <w:basedOn w:val="Fuentedeprrafopredeter"/>
    <w:link w:val="Ttulo"/>
    <w:uiPriority w:val="1"/>
    <w:rsid w:val="00A46463"/>
    <w:rPr>
      <w:rFonts w:ascii="Times New Roman" w:eastAsia="Times New Roman" w:hAnsi="Times New Roman" w:cs="Times New Roman"/>
      <w:sz w:val="36"/>
      <w:szCs w:val="36"/>
      <w:lang w:val="es-ES"/>
    </w:rPr>
  </w:style>
  <w:style w:type="paragraph" w:styleId="Sinespaciado">
    <w:name w:val="No Spacing"/>
    <w:uiPriority w:val="1"/>
    <w:qFormat/>
    <w:rsid w:val="00A84462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reinoso\Desktop\Portal%20de%20Transparencia\5_Plan%20Estrat&#233;gico%20Institucional\Memoria%20Institucional%202023\Libro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reinoso\Desktop\Portal%20de%20Transparencia\5_Plan%20Estrat&#233;gico%20Institucional\Memoria%20Institucional%202023\Libro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reinoso\Desktop\Portal%20de%20Transparencia\5_Plan%20Estrat&#233;gico%20Institucional\Memoria%20Institucional%202023\Libro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sz="1200" b="0" i="0" u="none" strike="noStrike" baseline="0"/>
              <a:t>% Estadistica anual de Acceso a la Información Pública (SAIP) del Año 2025</a:t>
            </a:r>
            <a:endParaRPr lang="es-DO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>
        <c:manualLayout>
          <c:layoutTarget val="inner"/>
          <c:xMode val="edge"/>
          <c:yMode val="edge"/>
          <c:x val="5.6068149376064837E-2"/>
          <c:y val="0.24711779448621554"/>
          <c:w val="0.91820085647188843"/>
          <c:h val="0.4668750616699228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Hoja1!$B$4</c:f>
              <c:strCache>
                <c:ptCount val="1"/>
                <c:pt idx="0">
                  <c:v>Recibidas</c:v>
                </c:pt>
              </c:strCache>
            </c:strRef>
          </c:tx>
          <c:spPr>
            <a:solidFill>
              <a:schemeClr val="accent5">
                <a:tint val="54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Hoja1!$A$5:$A$8</c:f>
              <c:strCache>
                <c:ptCount val="4"/>
                <c:pt idx="0">
                  <c:v>Portal SAIP</c:v>
                </c:pt>
                <c:pt idx="1">
                  <c:v>Otras</c:v>
                </c:pt>
                <c:pt idx="2">
                  <c:v>Total</c:v>
                </c:pt>
                <c:pt idx="3">
                  <c:v>Fuente: Oficina de Acceso a la Información (OAI)</c:v>
                </c:pt>
              </c:strCache>
            </c:strRef>
          </c:cat>
          <c:val>
            <c:numRef>
              <c:f>Hoja1!$B$5:$B$8</c:f>
              <c:numCache>
                <c:formatCode>General</c:formatCode>
                <c:ptCount val="4"/>
                <c:pt idx="0">
                  <c:v>27</c:v>
                </c:pt>
                <c:pt idx="1">
                  <c:v>0</c:v>
                </c:pt>
                <c:pt idx="2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C3-441F-B677-C417EA022A2F}"/>
            </c:ext>
          </c:extLst>
        </c:ser>
        <c:ser>
          <c:idx val="1"/>
          <c:order val="1"/>
          <c:tx>
            <c:strRef>
              <c:f>Hoja1!$C$4</c:f>
              <c:strCache>
                <c:ptCount val="1"/>
                <c:pt idx="0">
                  <c:v>Resueltas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Hoja1!$A$5:$A$8</c:f>
              <c:strCache>
                <c:ptCount val="4"/>
                <c:pt idx="0">
                  <c:v>Portal SAIP</c:v>
                </c:pt>
                <c:pt idx="1">
                  <c:v>Otras</c:v>
                </c:pt>
                <c:pt idx="2">
                  <c:v>Total</c:v>
                </c:pt>
                <c:pt idx="3">
                  <c:v>Fuente: Oficina de Acceso a la Información (OAI)</c:v>
                </c:pt>
              </c:strCache>
            </c:strRef>
          </c:cat>
          <c:val>
            <c:numRef>
              <c:f>Hoja1!$C$5:$C$8</c:f>
              <c:numCache>
                <c:formatCode>General</c:formatCode>
                <c:ptCount val="4"/>
                <c:pt idx="0">
                  <c:v>19</c:v>
                </c:pt>
                <c:pt idx="1">
                  <c:v>0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C3-441F-B677-C417EA022A2F}"/>
            </c:ext>
          </c:extLst>
        </c:ser>
        <c:ser>
          <c:idx val="2"/>
          <c:order val="2"/>
          <c:tx>
            <c:strRef>
              <c:f>Hoja1!$D$4</c:f>
              <c:strCache>
                <c:ptCount val="1"/>
                <c:pt idx="0">
                  <c:v>Declinada o Rechazada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Hoja1!$A$5:$A$8</c:f>
              <c:strCache>
                <c:ptCount val="4"/>
                <c:pt idx="0">
                  <c:v>Portal SAIP</c:v>
                </c:pt>
                <c:pt idx="1">
                  <c:v>Otras</c:v>
                </c:pt>
                <c:pt idx="2">
                  <c:v>Total</c:v>
                </c:pt>
                <c:pt idx="3">
                  <c:v>Fuente: Oficina de Acceso a la Información (OAI)</c:v>
                </c:pt>
              </c:strCache>
            </c:strRef>
          </c:cat>
          <c:val>
            <c:numRef>
              <c:f>Hoja1!$D$5:$D$8</c:f>
              <c:numCache>
                <c:formatCode>General</c:formatCode>
                <c:ptCount val="4"/>
                <c:pt idx="0">
                  <c:v>8</c:v>
                </c:pt>
                <c:pt idx="1">
                  <c:v>0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C3-441F-B677-C417EA022A2F}"/>
            </c:ext>
          </c:extLst>
        </c:ser>
        <c:ser>
          <c:idx val="3"/>
          <c:order val="3"/>
          <c:tx>
            <c:strRef>
              <c:f>Hoja1!$E$4</c:f>
              <c:strCache>
                <c:ptCount val="1"/>
                <c:pt idx="0">
                  <c:v>Pendientes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Hoja1!$A$5:$A$8</c:f>
              <c:strCache>
                <c:ptCount val="4"/>
                <c:pt idx="0">
                  <c:v>Portal SAIP</c:v>
                </c:pt>
                <c:pt idx="1">
                  <c:v>Otras</c:v>
                </c:pt>
                <c:pt idx="2">
                  <c:v>Total</c:v>
                </c:pt>
                <c:pt idx="3">
                  <c:v>Fuente: Oficina de Acceso a la Información (OAI)</c:v>
                </c:pt>
              </c:strCache>
            </c:strRef>
          </c:cat>
          <c:val>
            <c:numRef>
              <c:f>Hoja1!$E$5:$E$8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8C3-441F-B677-C417EA022A2F}"/>
            </c:ext>
          </c:extLst>
        </c:ser>
        <c:ser>
          <c:idx val="4"/>
          <c:order val="4"/>
          <c:tx>
            <c:strRef>
              <c:f>Hoja1!$F$4</c:f>
              <c:strCache>
                <c:ptCount val="1"/>
                <c:pt idx="0">
                  <c:v>% Cumplimiento</c:v>
                </c:pt>
              </c:strCache>
            </c:strRef>
          </c:tx>
          <c:spPr>
            <a:solidFill>
              <a:schemeClr val="accent5">
                <a:shade val="53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Hoja1!$A$5:$A$8</c:f>
              <c:strCache>
                <c:ptCount val="4"/>
                <c:pt idx="0">
                  <c:v>Portal SAIP</c:v>
                </c:pt>
                <c:pt idx="1">
                  <c:v>Otras</c:v>
                </c:pt>
                <c:pt idx="2">
                  <c:v>Total</c:v>
                </c:pt>
                <c:pt idx="3">
                  <c:v>Fuente: Oficina de Acceso a la Información (OAI)</c:v>
                </c:pt>
              </c:strCache>
            </c:strRef>
          </c:cat>
          <c:val>
            <c:numRef>
              <c:f>Hoja1!$F$5:$F$8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8C3-441F-B677-C417EA022A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34036367"/>
        <c:axId val="1934033039"/>
      </c:barChart>
      <c:catAx>
        <c:axId val="1934036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34033039"/>
        <c:crosses val="autoZero"/>
        <c:auto val="1"/>
        <c:lblAlgn val="ctr"/>
        <c:lblOffset val="100"/>
        <c:noMultiLvlLbl val="0"/>
      </c:catAx>
      <c:valAx>
        <c:axId val="19340330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340363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Resultados del sistema de Quejas, Reclamos y Sugerencias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>
        <c:manualLayout>
          <c:layoutTarget val="inner"/>
          <c:xMode val="edge"/>
          <c:yMode val="edge"/>
          <c:x val="6.6580927384076991E-2"/>
          <c:y val="0.2600925925925926"/>
          <c:w val="0.90286351706036749"/>
          <c:h val="0.4850072907553222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Hoja1!$B$41</c:f>
              <c:strCache>
                <c:ptCount val="1"/>
                <c:pt idx="0">
                  <c:v>Sistema 311</c:v>
                </c:pt>
              </c:strCache>
            </c:strRef>
          </c:tx>
          <c:spPr>
            <a:solidFill>
              <a:schemeClr val="accent5">
                <a:shade val="53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Hoja1!$C$39:$G$40</c:f>
              <c:strCache>
                <c:ptCount val="5"/>
                <c:pt idx="0">
                  <c:v>Recibidas</c:v>
                </c:pt>
                <c:pt idx="1">
                  <c:v>Resueltas</c:v>
                </c:pt>
                <c:pt idx="2">
                  <c:v>Declinada o Rechazada </c:v>
                </c:pt>
                <c:pt idx="3">
                  <c:v>Pendientes</c:v>
                </c:pt>
                <c:pt idx="4">
                  <c:v>% Cumplimiento</c:v>
                </c:pt>
              </c:strCache>
            </c:strRef>
          </c:cat>
          <c:val>
            <c:numRef>
              <c:f>Hoja1!$C$41:$G$41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99-4964-87AB-C30B0EF7ED9C}"/>
            </c:ext>
          </c:extLst>
        </c:ser>
        <c:ser>
          <c:idx val="1"/>
          <c:order val="1"/>
          <c:tx>
            <c:strRef>
              <c:f>Hoja1!$B$42</c:f>
              <c:strCache>
                <c:ptCount val="1"/>
                <c:pt idx="0">
                  <c:v>Buzón Fisico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Hoja1!$C$39:$G$40</c:f>
              <c:strCache>
                <c:ptCount val="5"/>
                <c:pt idx="0">
                  <c:v>Recibidas</c:v>
                </c:pt>
                <c:pt idx="1">
                  <c:v>Resueltas</c:v>
                </c:pt>
                <c:pt idx="2">
                  <c:v>Declinada o Rechazada </c:v>
                </c:pt>
                <c:pt idx="3">
                  <c:v>Pendientes</c:v>
                </c:pt>
                <c:pt idx="4">
                  <c:v>% Cumplimiento</c:v>
                </c:pt>
              </c:strCache>
            </c:strRef>
          </c:cat>
          <c:val>
            <c:numRef>
              <c:f>Hoja1!$C$42:$G$42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99-4964-87AB-C30B0EF7ED9C}"/>
            </c:ext>
          </c:extLst>
        </c:ser>
        <c:ser>
          <c:idx val="2"/>
          <c:order val="2"/>
          <c:tx>
            <c:strRef>
              <c:f>Hoja1!$B$43</c:f>
              <c:strCache>
                <c:ptCount val="1"/>
                <c:pt idx="0">
                  <c:v>Formulario QR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Hoja1!$C$39:$G$40</c:f>
              <c:strCache>
                <c:ptCount val="5"/>
                <c:pt idx="0">
                  <c:v>Recibidas</c:v>
                </c:pt>
                <c:pt idx="1">
                  <c:v>Resueltas</c:v>
                </c:pt>
                <c:pt idx="2">
                  <c:v>Declinada o Rechazada </c:v>
                </c:pt>
                <c:pt idx="3">
                  <c:v>Pendientes</c:v>
                </c:pt>
                <c:pt idx="4">
                  <c:v>% Cumplimiento</c:v>
                </c:pt>
              </c:strCache>
            </c:strRef>
          </c:cat>
          <c:val>
            <c:numRef>
              <c:f>Hoja1!$C$43:$G$43</c:f>
              <c:numCache>
                <c:formatCode>General</c:formatCode>
                <c:ptCount val="5"/>
                <c:pt idx="0">
                  <c:v>64</c:v>
                </c:pt>
                <c:pt idx="1">
                  <c:v>47</c:v>
                </c:pt>
                <c:pt idx="2">
                  <c:v>0</c:v>
                </c:pt>
                <c:pt idx="3">
                  <c:v>17</c:v>
                </c:pt>
                <c:pt idx="4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99-4964-87AB-C30B0EF7ED9C}"/>
            </c:ext>
          </c:extLst>
        </c:ser>
        <c:ser>
          <c:idx val="3"/>
          <c:order val="3"/>
          <c:tx>
            <c:strRef>
              <c:f>Hoja1!$B$44</c:f>
              <c:strCache>
                <c:ptCount val="1"/>
                <c:pt idx="0">
                  <c:v>Correos/Otras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Hoja1!$C$39:$G$40</c:f>
              <c:strCache>
                <c:ptCount val="5"/>
                <c:pt idx="0">
                  <c:v>Recibidas</c:v>
                </c:pt>
                <c:pt idx="1">
                  <c:v>Resueltas</c:v>
                </c:pt>
                <c:pt idx="2">
                  <c:v>Declinada o Rechazada </c:v>
                </c:pt>
                <c:pt idx="3">
                  <c:v>Pendientes</c:v>
                </c:pt>
                <c:pt idx="4">
                  <c:v>% Cumplimiento</c:v>
                </c:pt>
              </c:strCache>
            </c:strRef>
          </c:cat>
          <c:val>
            <c:numRef>
              <c:f>Hoja1!$C$44:$G$44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99-4964-87AB-C30B0EF7ED9C}"/>
            </c:ext>
          </c:extLst>
        </c:ser>
        <c:ser>
          <c:idx val="4"/>
          <c:order val="4"/>
          <c:tx>
            <c:strRef>
              <c:f>Hoja1!$B$45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5">
                <a:tint val="54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Hoja1!$C$39:$G$40</c:f>
              <c:strCache>
                <c:ptCount val="5"/>
                <c:pt idx="0">
                  <c:v>Recibidas</c:v>
                </c:pt>
                <c:pt idx="1">
                  <c:v>Resueltas</c:v>
                </c:pt>
                <c:pt idx="2">
                  <c:v>Declinada o Rechazada </c:v>
                </c:pt>
                <c:pt idx="3">
                  <c:v>Pendientes</c:v>
                </c:pt>
                <c:pt idx="4">
                  <c:v>% Cumplimiento</c:v>
                </c:pt>
              </c:strCache>
            </c:strRef>
          </c:cat>
          <c:val>
            <c:numRef>
              <c:f>Hoja1!$C$45:$G$45</c:f>
              <c:numCache>
                <c:formatCode>General</c:formatCode>
                <c:ptCount val="5"/>
                <c:pt idx="0">
                  <c:v>68</c:v>
                </c:pt>
                <c:pt idx="1">
                  <c:v>51</c:v>
                </c:pt>
                <c:pt idx="2">
                  <c:v>0</c:v>
                </c:pt>
                <c:pt idx="3">
                  <c:v>0</c:v>
                </c:pt>
                <c:pt idx="4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999-4964-87AB-C30B0EF7ED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50978816"/>
        <c:axId val="850991296"/>
      </c:barChart>
      <c:catAx>
        <c:axId val="850978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850991296"/>
        <c:crosses val="autoZero"/>
        <c:auto val="1"/>
        <c:lblAlgn val="ctr"/>
        <c:lblOffset val="100"/>
        <c:noMultiLvlLbl val="0"/>
      </c:catAx>
      <c:valAx>
        <c:axId val="850991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85097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Resultados de Indice de Transparencia evaluado por la DIGEIG durante el año 2025 Calificacion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plotArea>
      <c:layout>
        <c:manualLayout>
          <c:layoutTarget val="inner"/>
          <c:xMode val="edge"/>
          <c:yMode val="edge"/>
          <c:x val="3.7812335958005247E-2"/>
          <c:y val="0.25083333333333335"/>
          <c:w val="0.93718766404199472"/>
          <c:h val="0.517712890055409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Hoja3!$C$2:$C$4</c:f>
              <c:strCache>
                <c:ptCount val="3"/>
                <c:pt idx="0">
                  <c:v>Resultados de Indice de Transparencia evaluado por la DIGEIG durante el año 2025</c:v>
                </c:pt>
                <c:pt idx="2">
                  <c:v>Calificacion </c:v>
                </c:pt>
              </c:strCache>
            </c:strRef>
          </c:tx>
          <c:spPr>
            <a:solidFill>
              <a:schemeClr val="accent1">
                <a:shade val="53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2731334408019993E-17"/>
                  <c:y val="9.18999708369782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B1A-4E31-AF99-661A0D3BA483}"/>
                </c:ext>
              </c:extLst>
            </c:dLbl>
            <c:dLbl>
              <c:idx val="1"/>
              <c:layout>
                <c:manualLayout>
                  <c:x val="-2.5462668816039986E-17"/>
                  <c:y val="1.844925634295704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B1A-4E31-AF99-661A0D3BA483}"/>
                </c:ext>
              </c:extLst>
            </c:dLbl>
            <c:dLbl>
              <c:idx val="2"/>
              <c:layout>
                <c:manualLayout>
                  <c:x val="-2.777777777777803E-3"/>
                  <c:y val="1.38196267133274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B1A-4E31-AF99-661A0D3BA483}"/>
                </c:ext>
              </c:extLst>
            </c:dLbl>
            <c:dLbl>
              <c:idx val="3"/>
              <c:layout>
                <c:manualLayout>
                  <c:x val="-5.5555555555555558E-3"/>
                  <c:y val="4.560367454068241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1A-4E31-AF99-661A0D3BA483}"/>
                </c:ext>
              </c:extLst>
            </c:dLbl>
            <c:dLbl>
              <c:idx val="4"/>
              <c:layout>
                <c:manualLayout>
                  <c:x val="2.7777777777777267E-3"/>
                  <c:y val="9.189997083697871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B1A-4E31-AF99-661A0D3BA483}"/>
                </c:ext>
              </c:extLst>
            </c:dLbl>
            <c:dLbl>
              <c:idx val="5"/>
              <c:layout>
                <c:manualLayout>
                  <c:x val="-2.7777777777777779E-3"/>
                  <c:y val="9.189997083697871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1A-4E31-AF99-661A0D3BA483}"/>
                </c:ext>
              </c:extLst>
            </c:dLbl>
            <c:dLbl>
              <c:idx val="6"/>
              <c:layout>
                <c:manualLayout>
                  <c:x val="-1.0185067526415994E-16"/>
                  <c:y val="4.560367454068241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B1A-4E31-AF99-661A0D3BA483}"/>
                </c:ext>
              </c:extLst>
            </c:dLbl>
            <c:dLbl>
              <c:idx val="7"/>
              <c:layout>
                <c:manualLayout>
                  <c:x val="2.777777777777676E-3"/>
                  <c:y val="4.560367454068241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B1A-4E31-AF99-661A0D3BA483}"/>
                </c:ext>
              </c:extLst>
            </c:dLbl>
            <c:dLbl>
              <c:idx val="8"/>
              <c:layout>
                <c:manualLayout>
                  <c:x val="0"/>
                  <c:y val="4.560367454068241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B1A-4E31-AF99-661A0D3BA483}"/>
                </c:ext>
              </c:extLst>
            </c:dLbl>
            <c:dLbl>
              <c:idx val="9"/>
              <c:layout>
                <c:manualLayout>
                  <c:x val="0"/>
                  <c:y val="1.844925634295708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B1A-4E31-AF99-661A0D3BA4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Hoja3!$A$5:$B$16</c:f>
              <c:strCache>
                <c:ptCount val="12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  <c:pt idx="9">
                  <c:v>Octubre</c:v>
                </c:pt>
                <c:pt idx="10">
                  <c:v>Noviembre</c:v>
                </c:pt>
                <c:pt idx="11">
                  <c:v>Diciembre</c:v>
                </c:pt>
              </c:strCache>
            </c:strRef>
          </c:cat>
          <c:val>
            <c:numRef>
              <c:f>Hoja3!$C$5:$C$16</c:f>
              <c:numCache>
                <c:formatCode>General</c:formatCode>
                <c:ptCount val="12"/>
                <c:pt idx="0">
                  <c:v>98.03</c:v>
                </c:pt>
                <c:pt idx="1">
                  <c:v>98.03</c:v>
                </c:pt>
                <c:pt idx="2">
                  <c:v>99.27</c:v>
                </c:pt>
                <c:pt idx="3">
                  <c:v>99.93</c:v>
                </c:pt>
                <c:pt idx="4">
                  <c:v>99.93</c:v>
                </c:pt>
                <c:pt idx="5">
                  <c:v>99.93</c:v>
                </c:pt>
                <c:pt idx="6">
                  <c:v>98.46</c:v>
                </c:pt>
                <c:pt idx="7">
                  <c:v>95.95</c:v>
                </c:pt>
                <c:pt idx="8">
                  <c:v>97.58</c:v>
                </c:pt>
                <c:pt idx="9">
                  <c:v>92.57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B1A-4E31-AF99-661A0D3BA48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17058463"/>
        <c:axId val="1917045567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Hoja3!$D$2:$D$4</c15:sqref>
                        </c15:formulaRef>
                      </c:ext>
                    </c:extLst>
                    <c:strCache>
                      <c:ptCount val="3"/>
                      <c:pt idx="0">
                        <c:v>Resultados de Indice de Transparencia evaluado por la DIGEIG durante el año 2025</c:v>
                      </c:pt>
                      <c:pt idx="2">
                        <c:v>Calificacion </c:v>
                      </c:pt>
                    </c:strCache>
                  </c:strRef>
                </c:tx>
                <c:spPr>
                  <a:solidFill>
                    <a:schemeClr val="accent1">
                      <a:shade val="76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DO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Hoja3!$A$5:$B$16</c15:sqref>
                        </c15:formulaRef>
                      </c:ext>
                    </c:extLst>
                    <c:strCache>
                      <c:ptCount val="12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  <c:pt idx="3">
                        <c:v>Abril</c:v>
                      </c:pt>
                      <c:pt idx="4">
                        <c:v>Mayo</c:v>
                      </c:pt>
                      <c:pt idx="5">
                        <c:v>Junio</c:v>
                      </c:pt>
                      <c:pt idx="6">
                        <c:v>Julio</c:v>
                      </c:pt>
                      <c:pt idx="7">
                        <c:v>Agosto</c:v>
                      </c:pt>
                      <c:pt idx="8">
                        <c:v>Septiembre</c:v>
                      </c:pt>
                      <c:pt idx="9">
                        <c:v>Octubre</c:v>
                      </c:pt>
                      <c:pt idx="10">
                        <c:v>Noviembre</c:v>
                      </c:pt>
                      <c:pt idx="11">
                        <c:v>Diciembre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Hoja3!$D$5:$D$16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B-7B1A-4E31-AF99-661A0D3BA483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Hoja3!$E$2:$E$4</c15:sqref>
                        </c15:formulaRef>
                      </c:ext>
                    </c:extLst>
                    <c:strCache>
                      <c:ptCount val="3"/>
                      <c:pt idx="0">
                        <c:v>Resultados de Indice de Transparencia evaluado por la DIGEIG durante el año 2025</c:v>
                      </c:pt>
                      <c:pt idx="2">
                        <c:v>Calificacion 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DO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Hoja3!$A$5:$B$16</c15:sqref>
                        </c15:formulaRef>
                      </c:ext>
                    </c:extLst>
                    <c:strCache>
                      <c:ptCount val="12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  <c:pt idx="3">
                        <c:v>Abril</c:v>
                      </c:pt>
                      <c:pt idx="4">
                        <c:v>Mayo</c:v>
                      </c:pt>
                      <c:pt idx="5">
                        <c:v>Junio</c:v>
                      </c:pt>
                      <c:pt idx="6">
                        <c:v>Julio</c:v>
                      </c:pt>
                      <c:pt idx="7">
                        <c:v>Agosto</c:v>
                      </c:pt>
                      <c:pt idx="8">
                        <c:v>Septiembre</c:v>
                      </c:pt>
                      <c:pt idx="9">
                        <c:v>Octubre</c:v>
                      </c:pt>
                      <c:pt idx="10">
                        <c:v>Noviembre</c:v>
                      </c:pt>
                      <c:pt idx="11">
                        <c:v>Diciembre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Hoja3!$E$5:$E$16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7B1A-4E31-AF99-661A0D3BA483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Hoja3!$F$2:$F$4</c15:sqref>
                        </c15:formulaRef>
                      </c:ext>
                    </c:extLst>
                    <c:strCache>
                      <c:ptCount val="3"/>
                      <c:pt idx="0">
                        <c:v>Resultados de Indice de Transparencia evaluado por la DIGEIG durante el año 2025</c:v>
                      </c:pt>
                      <c:pt idx="2">
                        <c:v>Calificacion </c:v>
                      </c:pt>
                    </c:strCache>
                  </c:strRef>
                </c:tx>
                <c:spPr>
                  <a:solidFill>
                    <a:schemeClr val="accent1">
                      <a:tint val="77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DO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Hoja3!$A$5:$B$16</c15:sqref>
                        </c15:formulaRef>
                      </c:ext>
                    </c:extLst>
                    <c:strCache>
                      <c:ptCount val="12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  <c:pt idx="3">
                        <c:v>Abril</c:v>
                      </c:pt>
                      <c:pt idx="4">
                        <c:v>Mayo</c:v>
                      </c:pt>
                      <c:pt idx="5">
                        <c:v>Junio</c:v>
                      </c:pt>
                      <c:pt idx="6">
                        <c:v>Julio</c:v>
                      </c:pt>
                      <c:pt idx="7">
                        <c:v>Agosto</c:v>
                      </c:pt>
                      <c:pt idx="8">
                        <c:v>Septiembre</c:v>
                      </c:pt>
                      <c:pt idx="9">
                        <c:v>Octubre</c:v>
                      </c:pt>
                      <c:pt idx="10">
                        <c:v>Noviembre</c:v>
                      </c:pt>
                      <c:pt idx="11">
                        <c:v>Diciembre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Hoja3!$F$5:$F$16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7B1A-4E31-AF99-661A0D3BA483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Hoja3!$G$2:$G$4</c15:sqref>
                        </c15:formulaRef>
                      </c:ext>
                    </c:extLst>
                    <c:strCache>
                      <c:ptCount val="3"/>
                      <c:pt idx="0">
                        <c:v>Resultados de Indice de Transparencia evaluado por la DIGEIG durante el año 2025</c:v>
                      </c:pt>
                      <c:pt idx="2">
                        <c:v>Calificacion </c:v>
                      </c:pt>
                    </c:strCache>
                  </c:strRef>
                </c:tx>
                <c:spPr>
                  <a:solidFill>
                    <a:schemeClr val="accent1">
                      <a:tint val="54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DO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Hoja3!$A$5:$B$16</c15:sqref>
                        </c15:formulaRef>
                      </c:ext>
                    </c:extLst>
                    <c:strCache>
                      <c:ptCount val="12"/>
                      <c:pt idx="0">
                        <c:v>Enero</c:v>
                      </c:pt>
                      <c:pt idx="1">
                        <c:v>Febrero</c:v>
                      </c:pt>
                      <c:pt idx="2">
                        <c:v>Marzo</c:v>
                      </c:pt>
                      <c:pt idx="3">
                        <c:v>Abril</c:v>
                      </c:pt>
                      <c:pt idx="4">
                        <c:v>Mayo</c:v>
                      </c:pt>
                      <c:pt idx="5">
                        <c:v>Junio</c:v>
                      </c:pt>
                      <c:pt idx="6">
                        <c:v>Julio</c:v>
                      </c:pt>
                      <c:pt idx="7">
                        <c:v>Agosto</c:v>
                      </c:pt>
                      <c:pt idx="8">
                        <c:v>Septiembre</c:v>
                      </c:pt>
                      <c:pt idx="9">
                        <c:v>Octubre</c:v>
                      </c:pt>
                      <c:pt idx="10">
                        <c:v>Noviembre</c:v>
                      </c:pt>
                      <c:pt idx="11">
                        <c:v>Diciembre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Hoja3!$G$5:$G$16</c15:sqref>
                        </c15:formulaRef>
                      </c:ext>
                    </c:extLst>
                    <c:numCache>
                      <c:formatCode>General</c:formatCode>
                      <c:ptCount val="12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7B1A-4E31-AF99-661A0D3BA483}"/>
                  </c:ext>
                </c:extLst>
              </c15:ser>
            </c15:filteredBarSeries>
          </c:ext>
        </c:extLst>
      </c:barChart>
      <c:catAx>
        <c:axId val="1917058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917045567"/>
        <c:crosses val="autoZero"/>
        <c:auto val="1"/>
        <c:lblAlgn val="ctr"/>
        <c:lblOffset val="100"/>
        <c:noMultiLvlLbl val="0"/>
      </c:catAx>
      <c:valAx>
        <c:axId val="1917045567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9170584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0447-7D9F-4990-BBD6-67313A94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521</Words>
  <Characters>2800</Characters>
  <Application>Microsoft Office Word</Application>
  <DocSecurity>0</DocSecurity>
  <Lines>215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Reinoso</dc:creator>
  <cp:keywords/>
  <dc:description/>
  <cp:lastModifiedBy>Josue Reinoso</cp:lastModifiedBy>
  <cp:revision>2</cp:revision>
  <cp:lastPrinted>2026-01-19T15:05:00Z</cp:lastPrinted>
  <dcterms:created xsi:type="dcterms:W3CDTF">2026-01-19T15:07:00Z</dcterms:created>
  <dcterms:modified xsi:type="dcterms:W3CDTF">2026-01-19T15:07:00Z</dcterms:modified>
</cp:coreProperties>
</file>